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7B" w:rsidRDefault="00FD2D7B" w:rsidP="00FD2D7B">
      <w:pPr>
        <w:spacing w:before="100" w:beforeAutospacing="1" w:after="100" w:afterAutospacing="1"/>
        <w:jc w:val="center"/>
        <w:rPr>
          <w:b/>
          <w:bCs/>
          <w:iCs/>
          <w:sz w:val="24"/>
          <w:szCs w:val="24"/>
          <w:u w:val="single"/>
        </w:rPr>
      </w:pPr>
      <w:bookmarkStart w:id="0" w:name="_Hlk48652234"/>
      <w:r w:rsidRPr="00FD6090">
        <w:rPr>
          <w:b/>
          <w:bCs/>
          <w:iCs/>
          <w:sz w:val="24"/>
          <w:szCs w:val="24"/>
          <w:u w:val="single"/>
        </w:rPr>
        <w:t xml:space="preserve">AVISO DE </w:t>
      </w:r>
      <w:r w:rsidR="003D3819">
        <w:rPr>
          <w:b/>
          <w:bCs/>
          <w:iCs/>
          <w:sz w:val="24"/>
          <w:szCs w:val="24"/>
          <w:u w:val="single"/>
        </w:rPr>
        <w:t>ALTERAÇÃO DE DATA DO PREGÃO PRESENCIAL</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47179" w:rsidRPr="00FD6090" w:rsidTr="00B47179">
        <w:tc>
          <w:tcPr>
            <w:tcW w:w="5000" w:type="pct"/>
          </w:tcPr>
          <w:p w:rsidR="00B47179" w:rsidRPr="00FD6090" w:rsidRDefault="006D6724" w:rsidP="003369C3">
            <w:pPr>
              <w:rPr>
                <w:bCs/>
                <w:iCs/>
                <w:sz w:val="24"/>
                <w:szCs w:val="24"/>
                <w:u w:val="single"/>
              </w:rPr>
            </w:pPr>
            <w:r w:rsidRPr="00FD6090">
              <w:rPr>
                <w:sz w:val="24"/>
                <w:szCs w:val="24"/>
              </w:rPr>
              <w:t>Processo licitatório n.º 103</w:t>
            </w:r>
            <w:r w:rsidR="00B47179" w:rsidRPr="00FD6090">
              <w:rPr>
                <w:sz w:val="24"/>
                <w:szCs w:val="24"/>
              </w:rPr>
              <w:t>/2023</w:t>
            </w:r>
          </w:p>
        </w:tc>
      </w:tr>
      <w:tr w:rsidR="00B47179" w:rsidRPr="00FD6090" w:rsidTr="00B47179">
        <w:tc>
          <w:tcPr>
            <w:tcW w:w="5000" w:type="pct"/>
          </w:tcPr>
          <w:p w:rsidR="00B47179" w:rsidRPr="00FD6090" w:rsidRDefault="00B47179" w:rsidP="00396182">
            <w:pPr>
              <w:spacing w:before="100" w:beforeAutospacing="1" w:after="100" w:afterAutospacing="1"/>
              <w:rPr>
                <w:bCs/>
                <w:iCs/>
                <w:sz w:val="24"/>
                <w:szCs w:val="24"/>
              </w:rPr>
            </w:pPr>
            <w:r w:rsidRPr="00FD6090">
              <w:rPr>
                <w:bCs/>
                <w:iCs/>
                <w:sz w:val="24"/>
                <w:szCs w:val="24"/>
              </w:rPr>
              <w:t xml:space="preserve">Pregão presencial </w:t>
            </w:r>
            <w:r w:rsidRPr="00FD6090">
              <w:rPr>
                <w:sz w:val="24"/>
                <w:szCs w:val="24"/>
              </w:rPr>
              <w:t xml:space="preserve">n.º </w:t>
            </w:r>
            <w:r w:rsidR="006D6724" w:rsidRPr="00FD6090">
              <w:rPr>
                <w:bCs/>
                <w:iCs/>
                <w:sz w:val="24"/>
                <w:szCs w:val="24"/>
              </w:rPr>
              <w:t>038</w:t>
            </w:r>
            <w:r w:rsidRPr="00FD6090">
              <w:rPr>
                <w:bCs/>
                <w:iCs/>
                <w:sz w:val="24"/>
                <w:szCs w:val="24"/>
              </w:rPr>
              <w:t>/2023</w:t>
            </w:r>
          </w:p>
        </w:tc>
      </w:tr>
      <w:tr w:rsidR="00B47179" w:rsidRPr="00FD6090" w:rsidTr="00B47179">
        <w:tc>
          <w:tcPr>
            <w:tcW w:w="5000" w:type="pct"/>
          </w:tcPr>
          <w:p w:rsidR="00B47179" w:rsidRPr="00FD6090" w:rsidRDefault="006D6724" w:rsidP="003369C3">
            <w:pPr>
              <w:spacing w:before="100" w:beforeAutospacing="1" w:after="100" w:afterAutospacing="1"/>
              <w:rPr>
                <w:bCs/>
                <w:iCs/>
                <w:sz w:val="24"/>
                <w:szCs w:val="24"/>
              </w:rPr>
            </w:pPr>
            <w:r w:rsidRPr="00FD6090">
              <w:rPr>
                <w:bCs/>
                <w:iCs/>
                <w:sz w:val="24"/>
                <w:szCs w:val="24"/>
              </w:rPr>
              <w:t>Registro de preço n º 040</w:t>
            </w:r>
            <w:r w:rsidR="00B47179" w:rsidRPr="00FD6090">
              <w:rPr>
                <w:bCs/>
                <w:iCs/>
                <w:sz w:val="24"/>
                <w:szCs w:val="24"/>
              </w:rPr>
              <w:t xml:space="preserve">/2023 </w:t>
            </w:r>
          </w:p>
        </w:tc>
      </w:tr>
      <w:tr w:rsidR="00B47179" w:rsidRPr="00FD6090" w:rsidTr="00B47179">
        <w:tc>
          <w:tcPr>
            <w:tcW w:w="5000" w:type="pct"/>
          </w:tcPr>
          <w:p w:rsidR="00B47179" w:rsidRPr="003D3819" w:rsidRDefault="00FD6090" w:rsidP="00F306F0">
            <w:pPr>
              <w:spacing w:before="100" w:beforeAutospacing="1" w:after="100" w:afterAutospacing="1"/>
              <w:rPr>
                <w:b/>
                <w:bCs/>
                <w:iCs/>
                <w:color w:val="FF0000"/>
                <w:sz w:val="24"/>
                <w:szCs w:val="24"/>
              </w:rPr>
            </w:pPr>
            <w:r w:rsidRPr="003D3819">
              <w:rPr>
                <w:b/>
                <w:bCs/>
                <w:iCs/>
                <w:sz w:val="24"/>
                <w:szCs w:val="24"/>
              </w:rPr>
              <w:t>Data da realização: 20</w:t>
            </w:r>
            <w:r w:rsidR="00B47179" w:rsidRPr="003D3819">
              <w:rPr>
                <w:b/>
                <w:bCs/>
                <w:iCs/>
                <w:sz w:val="24"/>
                <w:szCs w:val="24"/>
              </w:rPr>
              <w:t xml:space="preserve">/10/2023  </w:t>
            </w:r>
          </w:p>
        </w:tc>
      </w:tr>
      <w:tr w:rsidR="00B47179" w:rsidRPr="00FD6090" w:rsidTr="00B47179">
        <w:trPr>
          <w:trHeight w:val="374"/>
        </w:trPr>
        <w:tc>
          <w:tcPr>
            <w:tcW w:w="5000" w:type="pct"/>
          </w:tcPr>
          <w:p w:rsidR="00B47179" w:rsidRPr="00FD6090" w:rsidRDefault="00075D52" w:rsidP="003369C3">
            <w:pPr>
              <w:spacing w:before="100" w:beforeAutospacing="1" w:after="100" w:afterAutospacing="1"/>
              <w:rPr>
                <w:bCs/>
                <w:iCs/>
                <w:sz w:val="24"/>
                <w:szCs w:val="24"/>
              </w:rPr>
            </w:pPr>
            <w:r w:rsidRPr="00FD6090">
              <w:rPr>
                <w:bCs/>
                <w:iCs/>
                <w:sz w:val="24"/>
                <w:szCs w:val="24"/>
              </w:rPr>
              <w:t>Horário: 8</w:t>
            </w:r>
            <w:r w:rsidR="00B47179" w:rsidRPr="00FD6090">
              <w:rPr>
                <w:bCs/>
                <w:iCs/>
                <w:sz w:val="24"/>
                <w:szCs w:val="24"/>
              </w:rPr>
              <w:t xml:space="preserve"> horas</w:t>
            </w:r>
          </w:p>
        </w:tc>
      </w:tr>
      <w:tr w:rsidR="00B47179" w:rsidRPr="00FD6090" w:rsidTr="00B47179">
        <w:trPr>
          <w:trHeight w:val="374"/>
        </w:trPr>
        <w:tc>
          <w:tcPr>
            <w:tcW w:w="5000" w:type="pct"/>
          </w:tcPr>
          <w:p w:rsidR="00B47179" w:rsidRPr="00FD6090" w:rsidRDefault="00B47179" w:rsidP="00CA6F97">
            <w:pPr>
              <w:spacing w:before="100" w:beforeAutospacing="1" w:after="100" w:afterAutospacing="1"/>
              <w:rPr>
                <w:bCs/>
                <w:iCs/>
                <w:sz w:val="24"/>
                <w:szCs w:val="24"/>
                <w:u w:val="single"/>
              </w:rPr>
            </w:pPr>
            <w:r w:rsidRPr="00FD6090">
              <w:rPr>
                <w:bCs/>
                <w:iCs/>
                <w:sz w:val="24"/>
                <w:szCs w:val="24"/>
              </w:rPr>
              <w:t xml:space="preserve">Local: </w:t>
            </w:r>
            <w:r w:rsidRPr="00FD6090">
              <w:rPr>
                <w:sz w:val="24"/>
                <w:szCs w:val="24"/>
              </w:rPr>
              <w:t>Sala de Reuniões da Comissão de Licitação</w:t>
            </w:r>
          </w:p>
        </w:tc>
      </w:tr>
      <w:tr w:rsidR="00CA6F97" w:rsidRPr="00FD6090" w:rsidTr="00B47179">
        <w:trPr>
          <w:trHeight w:val="374"/>
        </w:trPr>
        <w:tc>
          <w:tcPr>
            <w:tcW w:w="5000" w:type="pct"/>
          </w:tcPr>
          <w:p w:rsidR="00CA6F97" w:rsidRPr="00FD6090" w:rsidRDefault="00CA6F97" w:rsidP="003D3819">
            <w:pPr>
              <w:spacing w:before="100" w:beforeAutospacing="1" w:after="100" w:afterAutospacing="1"/>
              <w:rPr>
                <w:b/>
                <w:bCs/>
                <w:iCs/>
                <w:sz w:val="24"/>
                <w:szCs w:val="24"/>
              </w:rPr>
            </w:pPr>
            <w:r w:rsidRPr="00FD6090">
              <w:rPr>
                <w:rFonts w:eastAsia="Calibri"/>
                <w:b/>
                <w:sz w:val="24"/>
                <w:szCs w:val="24"/>
                <w:lang w:eastAsia="en-US"/>
              </w:rPr>
              <w:t>Licitação Exclusiva Para Desenvolvimento Local/Regional</w:t>
            </w:r>
          </w:p>
        </w:tc>
      </w:tr>
    </w:tbl>
    <w:p w:rsidR="003D3819" w:rsidRDefault="00B46A09" w:rsidP="00424015">
      <w:pPr>
        <w:pStyle w:val="PargrafodaLista"/>
        <w:spacing w:before="120" w:line="360" w:lineRule="auto"/>
        <w:ind w:left="0"/>
        <w:jc w:val="both"/>
        <w:rPr>
          <w:color w:val="333333"/>
          <w:sz w:val="24"/>
          <w:szCs w:val="24"/>
        </w:rPr>
      </w:pPr>
      <w:r w:rsidRPr="00FD6090">
        <w:rPr>
          <w:b/>
          <w:bCs/>
          <w:color w:val="000000" w:themeColor="text1"/>
          <w:sz w:val="24"/>
          <w:szCs w:val="24"/>
        </w:rPr>
        <w:t xml:space="preserve">O </w:t>
      </w:r>
      <w:r w:rsidRPr="00FD6090">
        <w:rPr>
          <w:b/>
          <w:sz w:val="24"/>
          <w:szCs w:val="24"/>
        </w:rPr>
        <w:t>MUNICÍPIO DE SANTO ANTÔNIO DO GRAMA</w:t>
      </w:r>
      <w:r w:rsidRPr="00FD6090">
        <w:rPr>
          <w:sz w:val="24"/>
          <w:szCs w:val="24"/>
        </w:rPr>
        <w:t>, pessoa jurídica de direito público, por seu órgão PREFEITURA MUNICIPAL, com sede na Rua Padre João Coutinho, nº 121, Bairro Centro, nesta cidade de SANTO ANTÔNIO DO GRAMA, Estado de Minas Gerais</w:t>
      </w:r>
      <w:r w:rsidRPr="00FD6090">
        <w:rPr>
          <w:rFonts w:eastAsia="Calibri"/>
          <w:sz w:val="24"/>
          <w:szCs w:val="24"/>
        </w:rPr>
        <w:t>, inscrito no Cadastro Nacional de Pessoa Jurídica sob o nº 18.836.973/0001-29, neste ato representado pelo Prefeito Municipal Senhor MARCOS AURÉLIO RAMINHO</w:t>
      </w:r>
      <w:r w:rsidRPr="00FD6090">
        <w:rPr>
          <w:color w:val="000000" w:themeColor="text1"/>
          <w:sz w:val="24"/>
          <w:szCs w:val="24"/>
        </w:rPr>
        <w:t>, por intermédio do(a) Pregoeiro(a)</w:t>
      </w:r>
      <w:r w:rsidR="00FD6090" w:rsidRPr="00FD6090">
        <w:rPr>
          <w:color w:val="000000" w:themeColor="text1"/>
          <w:sz w:val="24"/>
          <w:szCs w:val="24"/>
        </w:rPr>
        <w:t xml:space="preserve"> e equipe de apoio</w:t>
      </w:r>
      <w:r w:rsidR="00322BFB" w:rsidRPr="00FD6090">
        <w:rPr>
          <w:color w:val="000000" w:themeColor="text1"/>
          <w:sz w:val="24"/>
          <w:szCs w:val="24"/>
        </w:rPr>
        <w:t>, designada pela Portaria nº 081</w:t>
      </w:r>
      <w:r w:rsidR="00FD6090" w:rsidRPr="00FD6090">
        <w:rPr>
          <w:color w:val="000000" w:themeColor="text1"/>
          <w:sz w:val="24"/>
          <w:szCs w:val="24"/>
        </w:rPr>
        <w:t xml:space="preserve">/2023, </w:t>
      </w:r>
      <w:r w:rsidR="00FD6090" w:rsidRPr="00FD6090">
        <w:rPr>
          <w:color w:val="333333"/>
          <w:sz w:val="24"/>
          <w:szCs w:val="24"/>
        </w:rPr>
        <w:t>tornam público para conhecimento dos interessados a </w:t>
      </w:r>
      <w:r w:rsidR="00FD6090" w:rsidRPr="00FD6090">
        <w:rPr>
          <w:b/>
          <w:bCs/>
          <w:color w:val="333333"/>
          <w:sz w:val="24"/>
          <w:szCs w:val="24"/>
          <w:bdr w:val="none" w:sz="0" w:space="0" w:color="auto" w:frame="1"/>
        </w:rPr>
        <w:t xml:space="preserve">ALTERAÇÃO </w:t>
      </w:r>
      <w:r w:rsidR="003D3819">
        <w:rPr>
          <w:b/>
          <w:bCs/>
          <w:color w:val="333333"/>
          <w:sz w:val="24"/>
          <w:szCs w:val="24"/>
          <w:bdr w:val="none" w:sz="0" w:space="0" w:color="auto" w:frame="1"/>
        </w:rPr>
        <w:t xml:space="preserve"> DA DATA INFOMADA NA PUBLICAÇÃO REALIZADA NO DIA 06/10/2023, por </w:t>
      </w:r>
      <w:r w:rsidR="003D3819">
        <w:t xml:space="preserve"> Leticia Maria Teixeira Pereira, </w:t>
      </w:r>
      <w:r w:rsidR="003D3819">
        <w:t>Código Identificador:18F849BA</w:t>
      </w:r>
      <w:r w:rsidR="003D3819">
        <w:t xml:space="preserve">, referente ao </w:t>
      </w:r>
      <w:r w:rsidR="00FD6090" w:rsidRPr="00FD6090">
        <w:rPr>
          <w:b/>
          <w:bCs/>
          <w:color w:val="333333"/>
          <w:sz w:val="24"/>
          <w:szCs w:val="24"/>
          <w:bdr w:val="none" w:sz="0" w:space="0" w:color="auto" w:frame="1"/>
        </w:rPr>
        <w:t xml:space="preserve"> PREGÃO PRESENCIAL 103/2023 – </w:t>
      </w:r>
      <w:r w:rsidR="00FD6090" w:rsidRPr="00FD6090">
        <w:rPr>
          <w:sz w:val="24"/>
          <w:szCs w:val="24"/>
        </w:rPr>
        <w:t>Registro de preços, para futura e eventual aquisição de suplementos alimentares, fórmulas infantis, leites especiais para manutenção das atividades da Secretaria de Saúde</w:t>
      </w:r>
      <w:r w:rsidR="00FD6090" w:rsidRPr="00FD6090">
        <w:rPr>
          <w:color w:val="333333"/>
          <w:sz w:val="24"/>
          <w:szCs w:val="24"/>
        </w:rPr>
        <w:t>.</w:t>
      </w:r>
      <w:r w:rsidR="003D3819">
        <w:rPr>
          <w:color w:val="333333"/>
          <w:sz w:val="24"/>
          <w:szCs w:val="24"/>
        </w:rPr>
        <w:t xml:space="preserve"> </w:t>
      </w:r>
      <w:r w:rsidR="00FD6090" w:rsidRPr="00FD6090">
        <w:rPr>
          <w:color w:val="333333"/>
          <w:sz w:val="24"/>
          <w:szCs w:val="24"/>
        </w:rPr>
        <w:t xml:space="preserve"> </w:t>
      </w:r>
    </w:p>
    <w:p w:rsidR="00424015" w:rsidRDefault="00FD6090" w:rsidP="00424015">
      <w:pPr>
        <w:pStyle w:val="PargrafodaLista"/>
        <w:spacing w:before="120" w:line="360" w:lineRule="auto"/>
        <w:ind w:left="0"/>
        <w:jc w:val="both"/>
        <w:rPr>
          <w:color w:val="333333"/>
          <w:sz w:val="24"/>
          <w:szCs w:val="24"/>
        </w:rPr>
      </w:pPr>
      <w:r w:rsidRPr="00FD6090">
        <w:rPr>
          <w:color w:val="333333"/>
          <w:sz w:val="24"/>
          <w:szCs w:val="24"/>
        </w:rPr>
        <w:t>Fica alterado a data do </w:t>
      </w:r>
      <w:r w:rsidRPr="00FD6090">
        <w:rPr>
          <w:b/>
          <w:bCs/>
          <w:color w:val="333333"/>
          <w:sz w:val="24"/>
          <w:szCs w:val="24"/>
          <w:bdr w:val="none" w:sz="0" w:space="0" w:color="auto" w:frame="1"/>
        </w:rPr>
        <w:t>Pregão Presencial nº 101/2021</w:t>
      </w:r>
      <w:r w:rsidRPr="00FD6090">
        <w:rPr>
          <w:color w:val="333333"/>
          <w:sz w:val="24"/>
          <w:szCs w:val="24"/>
        </w:rPr>
        <w:t> para o dia </w:t>
      </w:r>
      <w:r w:rsidRPr="00FD6090">
        <w:rPr>
          <w:b/>
          <w:bCs/>
          <w:color w:val="333333"/>
          <w:sz w:val="24"/>
          <w:szCs w:val="24"/>
          <w:bdr w:val="none" w:sz="0" w:space="0" w:color="auto" w:frame="1"/>
        </w:rPr>
        <w:t>20 de outubro de 2023 às 08:00 horas</w:t>
      </w:r>
      <w:r w:rsidRPr="00FD6090">
        <w:rPr>
          <w:color w:val="333333"/>
          <w:sz w:val="24"/>
          <w:szCs w:val="24"/>
        </w:rPr>
        <w:t>. Abertura do envelope proposta e envelope documentos será na data de </w:t>
      </w:r>
      <w:r w:rsidRPr="00FD6090">
        <w:rPr>
          <w:b/>
          <w:bCs/>
          <w:color w:val="333333"/>
          <w:sz w:val="24"/>
          <w:szCs w:val="24"/>
          <w:bdr w:val="none" w:sz="0" w:space="0" w:color="auto" w:frame="1"/>
        </w:rPr>
        <w:t>20 de outubro de 2023 às 08:10 horas</w:t>
      </w:r>
      <w:r w:rsidRPr="00FD6090">
        <w:rPr>
          <w:color w:val="333333"/>
          <w:sz w:val="24"/>
          <w:szCs w:val="24"/>
        </w:rPr>
        <w:t>, na Prefeitura Municipal. Tal alteração ocorre pelo fato de feriado municipal no dia 12 de outubro e recesso no dia 13 de outubro do ano de 2023, o que interferiria na contagem do prazo legal.</w:t>
      </w:r>
    </w:p>
    <w:p w:rsidR="00424015" w:rsidRDefault="00FD6090" w:rsidP="00424015">
      <w:pPr>
        <w:pStyle w:val="PargrafodaLista"/>
        <w:spacing w:before="120" w:line="360" w:lineRule="auto"/>
        <w:ind w:left="0"/>
        <w:jc w:val="both"/>
        <w:rPr>
          <w:color w:val="333333"/>
          <w:sz w:val="24"/>
          <w:szCs w:val="24"/>
        </w:rPr>
      </w:pPr>
      <w:r w:rsidRPr="00FD6090">
        <w:rPr>
          <w:color w:val="333333"/>
          <w:sz w:val="24"/>
          <w:szCs w:val="24"/>
        </w:rPr>
        <w:t>A presente publicação se dará no site da municipalidade, bem como no diário oficial dos municípios mineiros.</w:t>
      </w:r>
    </w:p>
    <w:p w:rsidR="00FD6090" w:rsidRPr="00424015" w:rsidRDefault="00FD6090" w:rsidP="00424015">
      <w:pPr>
        <w:pStyle w:val="PargrafodaLista"/>
        <w:spacing w:before="120" w:line="360" w:lineRule="auto"/>
        <w:ind w:left="0"/>
        <w:jc w:val="both"/>
        <w:rPr>
          <w:b/>
          <w:bCs/>
          <w:color w:val="333333"/>
          <w:sz w:val="24"/>
          <w:szCs w:val="24"/>
          <w:bdr w:val="none" w:sz="0" w:space="0" w:color="auto" w:frame="1"/>
        </w:rPr>
      </w:pPr>
      <w:r w:rsidRPr="00FD6090">
        <w:rPr>
          <w:color w:val="333333"/>
          <w:sz w:val="24"/>
          <w:szCs w:val="24"/>
        </w:rPr>
        <w:t>As demais cláusulas permanecem ratificadas.</w:t>
      </w:r>
    </w:p>
    <w:p w:rsidR="00FD6090" w:rsidRPr="00FD6090" w:rsidRDefault="00FD6090" w:rsidP="00FD6090">
      <w:pPr>
        <w:shd w:val="clear" w:color="auto" w:fill="FFFFFF"/>
        <w:jc w:val="both"/>
        <w:rPr>
          <w:color w:val="000000" w:themeColor="text1"/>
          <w:sz w:val="24"/>
          <w:szCs w:val="24"/>
        </w:rPr>
      </w:pPr>
    </w:p>
    <w:bookmarkEnd w:id="0"/>
    <w:p w:rsidR="003369C3" w:rsidRPr="00FD6090" w:rsidRDefault="003369C3" w:rsidP="003C5F8F">
      <w:pPr>
        <w:spacing w:line="360" w:lineRule="auto"/>
        <w:jc w:val="both"/>
        <w:rPr>
          <w:sz w:val="24"/>
          <w:szCs w:val="24"/>
        </w:rPr>
      </w:pPr>
      <w:r w:rsidRPr="00FD6090">
        <w:rPr>
          <w:sz w:val="24"/>
          <w:szCs w:val="24"/>
        </w:rPr>
        <w:t>Quaisquer dúvidas, contatar pelo telefone (31) 3872-5005.</w:t>
      </w:r>
    </w:p>
    <w:p w:rsidR="003C5F8F" w:rsidRPr="00FD6090" w:rsidRDefault="003C5F8F" w:rsidP="003C5F8F">
      <w:pPr>
        <w:spacing w:line="360" w:lineRule="auto"/>
        <w:jc w:val="both"/>
        <w:rPr>
          <w:sz w:val="24"/>
          <w:szCs w:val="24"/>
        </w:rPr>
      </w:pPr>
    </w:p>
    <w:p w:rsidR="003369C3" w:rsidRPr="00FD6090" w:rsidRDefault="003C5F8F" w:rsidP="003C5F8F">
      <w:pPr>
        <w:spacing w:line="360" w:lineRule="auto"/>
        <w:jc w:val="both"/>
        <w:rPr>
          <w:sz w:val="24"/>
          <w:szCs w:val="24"/>
        </w:rPr>
      </w:pPr>
      <w:r w:rsidRPr="00FD6090">
        <w:rPr>
          <w:sz w:val="24"/>
          <w:szCs w:val="24"/>
        </w:rPr>
        <w:t xml:space="preserve">Santo Antônio do Grama, </w:t>
      </w:r>
      <w:r w:rsidR="00FD6090" w:rsidRPr="00FD6090">
        <w:rPr>
          <w:sz w:val="24"/>
          <w:szCs w:val="24"/>
        </w:rPr>
        <w:t>10</w:t>
      </w:r>
      <w:r w:rsidR="006D6724" w:rsidRPr="00FD6090">
        <w:rPr>
          <w:sz w:val="24"/>
          <w:szCs w:val="24"/>
        </w:rPr>
        <w:t xml:space="preserve"> de outubro</w:t>
      </w:r>
      <w:r w:rsidR="00322BFB" w:rsidRPr="00FD6090">
        <w:rPr>
          <w:sz w:val="24"/>
          <w:szCs w:val="24"/>
        </w:rPr>
        <w:t xml:space="preserve"> </w:t>
      </w:r>
      <w:r w:rsidR="003369C3" w:rsidRPr="00FD6090">
        <w:rPr>
          <w:sz w:val="24"/>
          <w:szCs w:val="24"/>
        </w:rPr>
        <w:t>de 2023.</w:t>
      </w:r>
    </w:p>
    <w:p w:rsidR="003369C3" w:rsidRPr="00FD6090" w:rsidRDefault="003369C3" w:rsidP="003369C3">
      <w:pPr>
        <w:jc w:val="both"/>
        <w:rPr>
          <w:sz w:val="24"/>
          <w:szCs w:val="24"/>
        </w:rPr>
      </w:pPr>
    </w:p>
    <w:p w:rsidR="003369C3" w:rsidRPr="00FD6090" w:rsidRDefault="003369C3" w:rsidP="003369C3">
      <w:pPr>
        <w:jc w:val="center"/>
        <w:rPr>
          <w:b/>
          <w:bCs/>
          <w:i/>
          <w:iCs/>
          <w:sz w:val="24"/>
          <w:szCs w:val="24"/>
        </w:rPr>
      </w:pPr>
      <w:r w:rsidRPr="00FD6090">
        <w:rPr>
          <w:b/>
          <w:bCs/>
          <w:i/>
          <w:iCs/>
          <w:sz w:val="24"/>
          <w:szCs w:val="24"/>
        </w:rPr>
        <w:t>LETÍCIA MARIA TEIXEIRA PEREIRA</w:t>
      </w:r>
    </w:p>
    <w:p w:rsidR="003369C3" w:rsidRPr="007F489F" w:rsidRDefault="003369C3" w:rsidP="003369C3">
      <w:pPr>
        <w:jc w:val="center"/>
        <w:rPr>
          <w:b/>
          <w:bCs/>
          <w:i/>
          <w:iCs/>
        </w:rPr>
      </w:pPr>
      <w:r w:rsidRPr="00FD6090">
        <w:rPr>
          <w:b/>
          <w:bCs/>
          <w:i/>
          <w:iCs/>
          <w:sz w:val="24"/>
          <w:szCs w:val="24"/>
        </w:rPr>
        <w:t>PREGOEIRA</w:t>
      </w:r>
    </w:p>
    <w:p w:rsidR="003C5F8F" w:rsidRPr="007F489F" w:rsidRDefault="003C5F8F" w:rsidP="003369C3">
      <w:pPr>
        <w:jc w:val="center"/>
        <w:rPr>
          <w:b/>
          <w:bCs/>
          <w:i/>
          <w:iCs/>
        </w:rPr>
      </w:pPr>
    </w:p>
    <w:p w:rsidR="00514C47" w:rsidRPr="007F489F" w:rsidRDefault="00514C47" w:rsidP="00863DE7">
      <w:pPr>
        <w:jc w:val="center"/>
        <w:rPr>
          <w:rFonts w:ascii="Century Gothic" w:hAnsi="Century Gothic"/>
          <w:b/>
          <w:u w:val="single"/>
        </w:rPr>
      </w:pPr>
      <w:bookmarkStart w:id="1" w:name="_GoBack"/>
      <w:bookmarkEnd w:id="1"/>
      <w:r w:rsidRPr="007F489F">
        <w:rPr>
          <w:rFonts w:ascii="Century Gothic" w:hAnsi="Century Gothic"/>
          <w:b/>
          <w:u w:val="single"/>
        </w:rPr>
        <w:lastRenderedPageBreak/>
        <w:t>EDITAL</w:t>
      </w:r>
    </w:p>
    <w:p w:rsidR="00322BFB" w:rsidRPr="007F489F" w:rsidRDefault="00322BFB" w:rsidP="00863DE7">
      <w:pPr>
        <w:jc w:val="center"/>
        <w:rPr>
          <w:rFonts w:ascii="Century Gothic" w:hAnsi="Century Gothic"/>
          <w:b/>
          <w:u w:val="single"/>
        </w:rPr>
      </w:pPr>
    </w:p>
    <w:p w:rsidR="00CA6F97" w:rsidRPr="007F489F" w:rsidRDefault="00CA6F97" w:rsidP="00863DE7">
      <w:pPr>
        <w:jc w:val="center"/>
        <w:rPr>
          <w:rFonts w:ascii="Century Gothic" w:eastAsia="Calibri" w:hAnsi="Century Gothic" w:cs="Arial"/>
          <w:b/>
          <w:lang w:eastAsia="en-US"/>
        </w:rPr>
      </w:pPr>
      <w:r w:rsidRPr="007F489F">
        <w:rPr>
          <w:rFonts w:ascii="Century Gothic" w:eastAsia="Calibri" w:hAnsi="Century Gothic" w:cs="Arial"/>
          <w:b/>
          <w:lang w:eastAsia="en-US"/>
        </w:rPr>
        <w:t>Licitação Exclusiva Para Desenvolvimento Local/Regional</w:t>
      </w:r>
    </w:p>
    <w:p w:rsidR="00CA6F97" w:rsidRPr="007F489F" w:rsidRDefault="00CA6F97" w:rsidP="00863DE7">
      <w:pPr>
        <w:jc w:val="center"/>
        <w:rPr>
          <w:rFonts w:ascii="Century Gothic" w:eastAsia="Calibri" w:hAnsi="Century Gothic" w:cs="Arial"/>
          <w:b/>
          <w:lang w:eastAsia="en-US"/>
        </w:rPr>
      </w:pPr>
    </w:p>
    <w:p w:rsidR="00CA6F97" w:rsidRPr="007F489F" w:rsidRDefault="00CA6F97" w:rsidP="00863DE7">
      <w:pPr>
        <w:jc w:val="center"/>
        <w:rPr>
          <w:rFonts w:ascii="Century Gothic" w:hAnsi="Century Gothic"/>
          <w:b/>
          <w:u w:val="single"/>
        </w:rPr>
      </w:pPr>
    </w:p>
    <w:tbl>
      <w:tblPr>
        <w:tblStyle w:val="Tabelacomgrade"/>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322BFB" w:rsidRPr="007F489F" w:rsidTr="00322BFB">
        <w:tc>
          <w:tcPr>
            <w:tcW w:w="5000" w:type="pct"/>
          </w:tcPr>
          <w:p w:rsidR="00322BFB" w:rsidRPr="007F489F" w:rsidRDefault="00075D52" w:rsidP="00322BFB">
            <w:pPr>
              <w:rPr>
                <w:rFonts w:ascii="Century Gothic" w:hAnsi="Century Gothic"/>
                <w:b/>
              </w:rPr>
            </w:pPr>
            <w:r w:rsidRPr="007F489F">
              <w:rPr>
                <w:rFonts w:ascii="Century Gothic" w:hAnsi="Century Gothic"/>
                <w:b/>
              </w:rPr>
              <w:t>Processo licitatório n.º 103</w:t>
            </w:r>
            <w:r w:rsidR="00322BFB" w:rsidRPr="007F489F">
              <w:rPr>
                <w:rFonts w:ascii="Century Gothic" w:hAnsi="Century Gothic"/>
                <w:b/>
              </w:rPr>
              <w:t>/2023</w:t>
            </w:r>
          </w:p>
        </w:tc>
      </w:tr>
      <w:tr w:rsidR="00322BFB" w:rsidRPr="007F489F" w:rsidTr="00322BFB">
        <w:tc>
          <w:tcPr>
            <w:tcW w:w="5000" w:type="pct"/>
          </w:tcPr>
          <w:p w:rsidR="00322BFB" w:rsidRPr="007F489F" w:rsidRDefault="00322BFB" w:rsidP="00322BFB">
            <w:pPr>
              <w:spacing w:before="100" w:beforeAutospacing="1" w:after="100" w:afterAutospacing="1"/>
              <w:rPr>
                <w:rFonts w:ascii="Century Gothic" w:hAnsi="Century Gothic"/>
                <w:b/>
                <w:bCs/>
                <w:iCs/>
              </w:rPr>
            </w:pPr>
            <w:r w:rsidRPr="007F489F">
              <w:rPr>
                <w:rFonts w:ascii="Century Gothic" w:hAnsi="Century Gothic"/>
                <w:b/>
                <w:bCs/>
                <w:iCs/>
              </w:rPr>
              <w:t xml:space="preserve">Pregão presencial </w:t>
            </w:r>
            <w:r w:rsidRPr="007F489F">
              <w:rPr>
                <w:rFonts w:ascii="Century Gothic" w:hAnsi="Century Gothic"/>
                <w:b/>
              </w:rPr>
              <w:t xml:space="preserve">n.º </w:t>
            </w:r>
            <w:r w:rsidR="00075D52" w:rsidRPr="007F489F">
              <w:rPr>
                <w:rFonts w:ascii="Century Gothic" w:hAnsi="Century Gothic"/>
                <w:b/>
                <w:bCs/>
                <w:iCs/>
              </w:rPr>
              <w:t>038</w:t>
            </w:r>
            <w:r w:rsidRPr="007F489F">
              <w:rPr>
                <w:rFonts w:ascii="Century Gothic" w:hAnsi="Century Gothic"/>
                <w:b/>
                <w:bCs/>
                <w:iCs/>
              </w:rPr>
              <w:t>/2023</w:t>
            </w:r>
          </w:p>
        </w:tc>
      </w:tr>
      <w:tr w:rsidR="00322BFB" w:rsidRPr="007F489F" w:rsidTr="00322BFB">
        <w:tc>
          <w:tcPr>
            <w:tcW w:w="5000" w:type="pct"/>
          </w:tcPr>
          <w:p w:rsidR="00322BFB" w:rsidRPr="007F489F" w:rsidRDefault="00075D52" w:rsidP="00322BFB">
            <w:pPr>
              <w:spacing w:before="100" w:beforeAutospacing="1" w:after="100" w:afterAutospacing="1"/>
              <w:rPr>
                <w:rFonts w:ascii="Century Gothic" w:hAnsi="Century Gothic"/>
                <w:b/>
                <w:bCs/>
                <w:iCs/>
              </w:rPr>
            </w:pPr>
            <w:r w:rsidRPr="007F489F">
              <w:rPr>
                <w:rFonts w:ascii="Century Gothic" w:hAnsi="Century Gothic"/>
                <w:b/>
                <w:bCs/>
                <w:iCs/>
              </w:rPr>
              <w:t>Registro de preço n º 040</w:t>
            </w:r>
            <w:r w:rsidR="00322BFB" w:rsidRPr="007F489F">
              <w:rPr>
                <w:rFonts w:ascii="Century Gothic" w:hAnsi="Century Gothic"/>
                <w:b/>
                <w:bCs/>
                <w:iCs/>
              </w:rPr>
              <w:t xml:space="preserve">/2023 </w:t>
            </w:r>
          </w:p>
        </w:tc>
      </w:tr>
      <w:tr w:rsidR="00322BFB" w:rsidRPr="007F489F" w:rsidTr="00322BFB">
        <w:tc>
          <w:tcPr>
            <w:tcW w:w="5000" w:type="pct"/>
          </w:tcPr>
          <w:p w:rsidR="00322BFB" w:rsidRPr="007F489F" w:rsidRDefault="00322BFB" w:rsidP="00322BFB">
            <w:pPr>
              <w:spacing w:before="100" w:beforeAutospacing="1" w:after="100" w:afterAutospacing="1"/>
              <w:rPr>
                <w:rFonts w:ascii="Century Gothic" w:hAnsi="Century Gothic"/>
                <w:b/>
                <w:bCs/>
                <w:iCs/>
              </w:rPr>
            </w:pPr>
            <w:r w:rsidRPr="003F7C2E">
              <w:rPr>
                <w:rFonts w:ascii="Century Gothic" w:hAnsi="Century Gothic"/>
                <w:b/>
                <w:bCs/>
                <w:iCs/>
              </w:rPr>
              <w:t xml:space="preserve">Data da realização: </w:t>
            </w:r>
            <w:r w:rsidR="00075D52" w:rsidRPr="003F7C2E">
              <w:rPr>
                <w:rFonts w:ascii="Century Gothic" w:hAnsi="Century Gothic"/>
                <w:b/>
                <w:bCs/>
                <w:iCs/>
              </w:rPr>
              <w:t>20</w:t>
            </w:r>
            <w:r w:rsidRPr="003F7C2E">
              <w:rPr>
                <w:rFonts w:ascii="Century Gothic" w:hAnsi="Century Gothic"/>
                <w:b/>
                <w:bCs/>
                <w:iCs/>
              </w:rPr>
              <w:t xml:space="preserve">/10/2023  </w:t>
            </w:r>
          </w:p>
        </w:tc>
      </w:tr>
      <w:tr w:rsidR="00322BFB" w:rsidRPr="007F489F" w:rsidTr="00322BFB">
        <w:trPr>
          <w:trHeight w:val="374"/>
        </w:trPr>
        <w:tc>
          <w:tcPr>
            <w:tcW w:w="5000" w:type="pct"/>
          </w:tcPr>
          <w:p w:rsidR="00322BFB" w:rsidRPr="007F489F" w:rsidRDefault="00322BFB" w:rsidP="00322BFB">
            <w:pPr>
              <w:spacing w:before="100" w:beforeAutospacing="1" w:after="100" w:afterAutospacing="1"/>
              <w:rPr>
                <w:rFonts w:ascii="Century Gothic" w:hAnsi="Century Gothic"/>
                <w:b/>
                <w:bCs/>
                <w:iCs/>
              </w:rPr>
            </w:pPr>
            <w:r w:rsidRPr="007F489F">
              <w:rPr>
                <w:rFonts w:ascii="Century Gothic" w:hAnsi="Century Gothic"/>
                <w:b/>
                <w:bCs/>
                <w:iCs/>
              </w:rPr>
              <w:t xml:space="preserve">Horário: 09h:00min </w:t>
            </w:r>
          </w:p>
        </w:tc>
      </w:tr>
      <w:tr w:rsidR="00322BFB" w:rsidRPr="007F489F" w:rsidTr="00322BFB">
        <w:trPr>
          <w:trHeight w:val="374"/>
        </w:trPr>
        <w:tc>
          <w:tcPr>
            <w:tcW w:w="5000" w:type="pct"/>
          </w:tcPr>
          <w:p w:rsidR="00322BFB" w:rsidRPr="007F489F" w:rsidRDefault="00322BFB" w:rsidP="00CA6F97">
            <w:pPr>
              <w:spacing w:before="100" w:beforeAutospacing="1" w:after="100" w:afterAutospacing="1"/>
              <w:rPr>
                <w:rFonts w:ascii="Century Gothic" w:hAnsi="Century Gothic"/>
                <w:b/>
                <w:bCs/>
                <w:iCs/>
                <w:u w:val="single"/>
              </w:rPr>
            </w:pPr>
            <w:r w:rsidRPr="007F489F">
              <w:rPr>
                <w:rFonts w:ascii="Century Gothic" w:hAnsi="Century Gothic"/>
                <w:b/>
                <w:bCs/>
                <w:iCs/>
              </w:rPr>
              <w:t xml:space="preserve">Local: </w:t>
            </w:r>
            <w:r w:rsidRPr="007F489F">
              <w:rPr>
                <w:rFonts w:ascii="Century Gothic" w:hAnsi="Century Gothic"/>
                <w:b/>
              </w:rPr>
              <w:t>Sala de Reuniões da Comissão de Licitação</w:t>
            </w:r>
          </w:p>
        </w:tc>
      </w:tr>
    </w:tbl>
    <w:p w:rsidR="00A82D99" w:rsidRPr="007F489F" w:rsidRDefault="004837AA" w:rsidP="00141B6C">
      <w:pPr>
        <w:spacing w:before="100" w:beforeAutospacing="1" w:after="100" w:afterAutospacing="1"/>
        <w:jc w:val="both"/>
        <w:rPr>
          <w:rFonts w:ascii="Century Gothic" w:hAnsi="Century Gothic"/>
        </w:rPr>
      </w:pPr>
      <w:r w:rsidRPr="007F489F">
        <w:rPr>
          <w:rFonts w:ascii="Century Gothic" w:hAnsi="Century Gothic"/>
        </w:rPr>
        <w:t xml:space="preserve">O </w:t>
      </w:r>
      <w:r w:rsidRPr="007F489F">
        <w:rPr>
          <w:rFonts w:ascii="Century Gothic" w:hAnsi="Century Gothic"/>
          <w:b/>
        </w:rPr>
        <w:t xml:space="preserve">MUNICÍPIO DE </w:t>
      </w:r>
      <w:r w:rsidR="0094166E" w:rsidRPr="007F489F">
        <w:rPr>
          <w:rFonts w:ascii="Century Gothic" w:hAnsi="Century Gothic"/>
          <w:b/>
        </w:rPr>
        <w:t>SANTO ANTÔNIO DO GRAMA</w:t>
      </w:r>
      <w:r w:rsidRPr="007F489F">
        <w:rPr>
          <w:rFonts w:ascii="Century Gothic" w:hAnsi="Century Gothic"/>
        </w:rPr>
        <w:t xml:space="preserve">, pessoa jurídica de direito público, por seu órgão </w:t>
      </w:r>
      <w:r w:rsidR="003D1D83" w:rsidRPr="007F489F">
        <w:rPr>
          <w:rFonts w:ascii="Century Gothic" w:hAnsi="Century Gothic"/>
        </w:rPr>
        <w:t>PREFEITURA</w:t>
      </w:r>
      <w:r w:rsidRPr="007F489F">
        <w:rPr>
          <w:rFonts w:ascii="Century Gothic" w:hAnsi="Century Gothic"/>
        </w:rPr>
        <w:t xml:space="preserve"> MUNICIPAL, com sede na </w:t>
      </w:r>
      <w:r w:rsidR="00403C6F" w:rsidRPr="007F489F">
        <w:rPr>
          <w:rFonts w:ascii="Century Gothic" w:hAnsi="Century Gothic"/>
        </w:rPr>
        <w:t xml:space="preserve">Rua </w:t>
      </w:r>
      <w:r w:rsidR="0094166E" w:rsidRPr="007F489F">
        <w:rPr>
          <w:rFonts w:ascii="Century Gothic" w:hAnsi="Century Gothic"/>
        </w:rPr>
        <w:t>Padre João Coutinho</w:t>
      </w:r>
      <w:r w:rsidR="001A22D4" w:rsidRPr="007F489F">
        <w:rPr>
          <w:rFonts w:ascii="Century Gothic" w:hAnsi="Century Gothic"/>
        </w:rPr>
        <w:t xml:space="preserve">, nº </w:t>
      </w:r>
      <w:r w:rsidR="0094166E" w:rsidRPr="007F489F">
        <w:rPr>
          <w:rFonts w:ascii="Century Gothic" w:hAnsi="Century Gothic"/>
        </w:rPr>
        <w:t>121</w:t>
      </w:r>
      <w:r w:rsidRPr="007F489F">
        <w:rPr>
          <w:rFonts w:ascii="Century Gothic" w:hAnsi="Century Gothic"/>
        </w:rPr>
        <w:t xml:space="preserve">, Bairro Centro, nesta cidade de </w:t>
      </w:r>
      <w:r w:rsidR="0094166E" w:rsidRPr="007F489F">
        <w:rPr>
          <w:rFonts w:ascii="Century Gothic" w:hAnsi="Century Gothic"/>
        </w:rPr>
        <w:t>SANTO ANTÔNIO DO GRAMA</w:t>
      </w:r>
      <w:r w:rsidRPr="007F489F">
        <w:rPr>
          <w:rFonts w:ascii="Century Gothic" w:hAnsi="Century Gothic"/>
        </w:rPr>
        <w:t>, Estado de Minas Gerais</w:t>
      </w:r>
      <w:r w:rsidRPr="007F489F">
        <w:rPr>
          <w:rFonts w:ascii="Century Gothic" w:eastAsia="Calibri" w:hAnsi="Century Gothic"/>
        </w:rPr>
        <w:t xml:space="preserve">, inscrito no Cadastro Nacional de Pessoa Jurídica sob o nº </w:t>
      </w:r>
      <w:r w:rsidR="000F4852" w:rsidRPr="007F489F">
        <w:rPr>
          <w:rFonts w:ascii="Century Gothic" w:eastAsia="Calibri" w:hAnsi="Century Gothic"/>
        </w:rPr>
        <w:t>18.836.973/0001-29</w:t>
      </w:r>
      <w:r w:rsidRPr="007F489F">
        <w:rPr>
          <w:rFonts w:ascii="Century Gothic" w:eastAsia="Calibri" w:hAnsi="Century Gothic"/>
        </w:rPr>
        <w:t xml:space="preserve">, neste ato representado pelo Prefeito Municipal Senhor </w:t>
      </w:r>
      <w:r w:rsidR="00FD2D7B" w:rsidRPr="007F489F">
        <w:rPr>
          <w:rFonts w:ascii="Century Gothic" w:eastAsia="Calibri" w:hAnsi="Century Gothic"/>
        </w:rPr>
        <w:t>MARCOS AURÉLIO R</w:t>
      </w:r>
      <w:r w:rsidR="00310E38" w:rsidRPr="007F489F">
        <w:rPr>
          <w:rFonts w:ascii="Century Gothic" w:eastAsia="Calibri" w:hAnsi="Century Gothic"/>
        </w:rPr>
        <w:t>AMINHO</w:t>
      </w:r>
      <w:r w:rsidRPr="007F489F">
        <w:rPr>
          <w:rFonts w:ascii="Century Gothic" w:eastAsia="Calibri" w:hAnsi="Century Gothic"/>
        </w:rPr>
        <w:t xml:space="preserve"> e </w:t>
      </w:r>
      <w:r w:rsidR="0040541F" w:rsidRPr="007F489F">
        <w:rPr>
          <w:rFonts w:ascii="Century Gothic" w:eastAsia="Calibri" w:hAnsi="Century Gothic"/>
        </w:rPr>
        <w:t>a</w:t>
      </w:r>
      <w:r w:rsidR="009C407D" w:rsidRPr="007F489F">
        <w:rPr>
          <w:rFonts w:ascii="Century Gothic" w:eastAsia="Calibri" w:hAnsi="Century Gothic"/>
        </w:rPr>
        <w:t xml:space="preserve"> </w:t>
      </w:r>
      <w:r w:rsidR="003D1D83" w:rsidRPr="007F489F">
        <w:rPr>
          <w:rFonts w:ascii="Century Gothic" w:eastAsia="Calibri" w:hAnsi="Century Gothic"/>
        </w:rPr>
        <w:t>PREGOEIRA</w:t>
      </w:r>
      <w:bookmarkStart w:id="2" w:name="_Hlk112670863"/>
      <w:r w:rsidR="009C407D" w:rsidRPr="007F489F">
        <w:rPr>
          <w:rFonts w:ascii="Century Gothic" w:eastAsia="Calibri" w:hAnsi="Century Gothic"/>
        </w:rPr>
        <w:t xml:space="preserve"> </w:t>
      </w:r>
      <w:r w:rsidR="0094166E" w:rsidRPr="007F489F">
        <w:rPr>
          <w:rFonts w:ascii="Century Gothic" w:hAnsi="Century Gothic"/>
        </w:rPr>
        <w:t>LETÍCIA MARIATEIXEIRA PEREIRA</w:t>
      </w:r>
      <w:bookmarkEnd w:id="2"/>
      <w:r w:rsidRPr="007F489F">
        <w:rPr>
          <w:rFonts w:ascii="Century Gothic" w:hAnsi="Century Gothic"/>
        </w:rPr>
        <w:t>, designad</w:t>
      </w:r>
      <w:r w:rsidR="001725B1" w:rsidRPr="007F489F">
        <w:rPr>
          <w:rFonts w:ascii="Century Gothic" w:hAnsi="Century Gothic"/>
        </w:rPr>
        <w:t>a</w:t>
      </w:r>
      <w:r w:rsidR="009C407D" w:rsidRPr="007F489F">
        <w:rPr>
          <w:rFonts w:ascii="Century Gothic" w:hAnsi="Century Gothic"/>
        </w:rPr>
        <w:t xml:space="preserve"> </w:t>
      </w:r>
      <w:r w:rsidR="00322BFB" w:rsidRPr="007F489F">
        <w:rPr>
          <w:rFonts w:ascii="Century Gothic" w:hAnsi="Century Gothic"/>
        </w:rPr>
        <w:t>pela Portaria nº 081</w:t>
      </w:r>
      <w:r w:rsidR="00F91D0A" w:rsidRPr="007F489F">
        <w:rPr>
          <w:rFonts w:ascii="Century Gothic" w:hAnsi="Century Gothic"/>
        </w:rPr>
        <w:t>/ 2023</w:t>
      </w:r>
      <w:r w:rsidRPr="007F489F">
        <w:rPr>
          <w:rFonts w:ascii="Century Gothic" w:hAnsi="Century Gothic"/>
        </w:rPr>
        <w:t>, e, em conformidade com a Lei Federal nº 10.520/2002 e supletivamente pela Lei Federal nº 8.666/93 e</w:t>
      </w:r>
      <w:r w:rsidR="001725B1" w:rsidRPr="007F489F">
        <w:rPr>
          <w:rFonts w:ascii="Century Gothic" w:hAnsi="Century Gothic"/>
        </w:rPr>
        <w:t xml:space="preserve"> demais alterações</w:t>
      </w:r>
      <w:r w:rsidRPr="007F489F">
        <w:rPr>
          <w:rFonts w:ascii="Century Gothic" w:hAnsi="Century Gothic"/>
        </w:rPr>
        <w:t>, especificações e anexos do presente Instrumento Convocatório, torna pública</w:t>
      </w:r>
      <w:r w:rsidR="00417AE8" w:rsidRPr="007F489F">
        <w:rPr>
          <w:rFonts w:ascii="Century Gothic" w:hAnsi="Century Gothic"/>
        </w:rPr>
        <w:t xml:space="preserve">, para conhecimento de todos os interessados, que está realizando licitação na modalidade </w:t>
      </w:r>
      <w:r w:rsidR="003C5F8F" w:rsidRPr="007F489F">
        <w:rPr>
          <w:rFonts w:ascii="Century Gothic" w:hAnsi="Century Gothic"/>
          <w:b/>
        </w:rPr>
        <w:t>PREGÃO PRESENCIAL,</w:t>
      </w:r>
      <w:r w:rsidR="00F306F0" w:rsidRPr="007F489F">
        <w:rPr>
          <w:rFonts w:ascii="Century Gothic" w:hAnsi="Century Gothic"/>
          <w:b/>
        </w:rPr>
        <w:t xml:space="preserve"> </w:t>
      </w:r>
      <w:r w:rsidR="00417AE8" w:rsidRPr="007F489F">
        <w:rPr>
          <w:rFonts w:ascii="Century Gothic" w:hAnsi="Century Gothic"/>
          <w:b/>
        </w:rPr>
        <w:t xml:space="preserve">do tipo MENOR PREÇO, </w:t>
      </w:r>
      <w:r w:rsidR="001A0409" w:rsidRPr="007F489F">
        <w:rPr>
          <w:rFonts w:ascii="Century Gothic" w:hAnsi="Century Gothic"/>
          <w:b/>
        </w:rPr>
        <w:t>POR ITEM</w:t>
      </w:r>
      <w:r w:rsidR="00A903C5" w:rsidRPr="007F489F">
        <w:rPr>
          <w:rFonts w:ascii="Century Gothic" w:hAnsi="Century Gothic"/>
        </w:rPr>
        <w:t xml:space="preserve"> </w:t>
      </w:r>
      <w:r w:rsidR="00417AE8" w:rsidRPr="007F489F">
        <w:rPr>
          <w:rFonts w:ascii="Century Gothic" w:hAnsi="Century Gothic"/>
        </w:rPr>
        <w:t>com a finalidade de selecionar a melhor proposta para</w:t>
      </w:r>
      <w:r w:rsidR="00B32B3B" w:rsidRPr="007F489F">
        <w:rPr>
          <w:rFonts w:ascii="Century Gothic" w:hAnsi="Century Gothic"/>
        </w:rPr>
        <w:t xml:space="preserve"> </w:t>
      </w:r>
      <w:r w:rsidR="00B32B3B" w:rsidRPr="007F489F">
        <w:rPr>
          <w:rFonts w:ascii="Century Gothic" w:hAnsi="Century Gothic" w:cs="Arial"/>
        </w:rPr>
        <w:t>Registro de preços, para futura e eventual aquisição de suplementos alimentares, fórmulas infantis, leites especiais para manutenção das atividades da Secretaria de Saúde, conforme solicitação</w:t>
      </w:r>
      <w:r w:rsidR="00F306F0" w:rsidRPr="007F489F">
        <w:rPr>
          <w:rFonts w:ascii="Century Gothic" w:hAnsi="Century Gothic" w:cs="Arial"/>
          <w:color w:val="000000" w:themeColor="text1"/>
        </w:rPr>
        <w:t xml:space="preserve">, de acordo com as especificações constantes no termo de </w:t>
      </w:r>
      <w:r w:rsidR="001A0409" w:rsidRPr="007F489F">
        <w:rPr>
          <w:rFonts w:ascii="Century Gothic" w:hAnsi="Century Gothic" w:cs="Arial"/>
          <w:color w:val="000000" w:themeColor="text1"/>
        </w:rPr>
        <w:t>referência</w:t>
      </w:r>
      <w:r w:rsidR="00F306F0" w:rsidRPr="007F489F">
        <w:rPr>
          <w:rFonts w:ascii="Century Gothic" w:hAnsi="Century Gothic" w:cs="Arial"/>
          <w:color w:val="000000" w:themeColor="text1"/>
        </w:rPr>
        <w:t>,</w:t>
      </w:r>
      <w:r w:rsidR="00F306F0" w:rsidRPr="007F489F">
        <w:rPr>
          <w:rFonts w:ascii="Century Gothic" w:hAnsi="Century Gothic"/>
        </w:rPr>
        <w:t xml:space="preserve"> edital e seus anexos</w:t>
      </w:r>
      <w:r w:rsidR="003369C3" w:rsidRPr="007F489F">
        <w:rPr>
          <w:rFonts w:ascii="Century Gothic" w:hAnsi="Century Gothic"/>
        </w:rPr>
        <w:t xml:space="preserve">, </w:t>
      </w:r>
      <w:r w:rsidR="001E4BDB" w:rsidRPr="007F489F">
        <w:rPr>
          <w:rFonts w:ascii="Century Gothic" w:hAnsi="Century Gothic"/>
        </w:rPr>
        <w:t>fazem parte integral todos os documentos vinculados a proposta especificada no objeto.</w:t>
      </w:r>
    </w:p>
    <w:p w:rsidR="00A82D99"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Os envelopes contendo a Proposta de Preços e os Documentos de Habilitação definidos no objeto deste Edital e seus Anexos deverão ser entregues até as</w:t>
      </w:r>
      <w:r w:rsidRPr="007F489F">
        <w:rPr>
          <w:rFonts w:ascii="Century Gothic" w:hAnsi="Century Gothic"/>
          <w:b/>
        </w:rPr>
        <w:t xml:space="preserve"> </w:t>
      </w:r>
      <w:r w:rsidR="00B32B3B" w:rsidRPr="007F489F">
        <w:rPr>
          <w:rFonts w:ascii="Century Gothic" w:hAnsi="Century Gothic"/>
        </w:rPr>
        <w:t>8</w:t>
      </w:r>
      <w:r w:rsidR="00322BFB" w:rsidRPr="007F489F">
        <w:rPr>
          <w:rFonts w:ascii="Century Gothic" w:hAnsi="Century Gothic"/>
        </w:rPr>
        <w:t>hs00</w:t>
      </w:r>
      <w:r w:rsidR="00396182" w:rsidRPr="007F489F">
        <w:rPr>
          <w:rFonts w:ascii="Century Gothic" w:hAnsi="Century Gothic"/>
        </w:rPr>
        <w:t>min</w:t>
      </w:r>
      <w:r w:rsidRPr="007F489F">
        <w:rPr>
          <w:rFonts w:ascii="Century Gothic" w:hAnsi="Century Gothic"/>
          <w:b/>
        </w:rPr>
        <w:t>,</w:t>
      </w:r>
      <w:r w:rsidRPr="007F489F">
        <w:rPr>
          <w:rFonts w:ascii="Century Gothic" w:hAnsi="Century Gothic"/>
        </w:rPr>
        <w:t xml:space="preserve"> horário local, do dia </w:t>
      </w:r>
      <w:r w:rsidR="00B32B3B" w:rsidRPr="007F489F">
        <w:rPr>
          <w:rFonts w:ascii="Century Gothic" w:hAnsi="Century Gothic"/>
          <w:b/>
        </w:rPr>
        <w:t>20</w:t>
      </w:r>
      <w:r w:rsidR="00322BFB" w:rsidRPr="007F489F">
        <w:rPr>
          <w:rFonts w:ascii="Century Gothic" w:hAnsi="Century Gothic"/>
          <w:b/>
        </w:rPr>
        <w:t>/10</w:t>
      </w:r>
      <w:r w:rsidR="00FD2D7B" w:rsidRPr="007F489F">
        <w:rPr>
          <w:rFonts w:ascii="Century Gothic" w:hAnsi="Century Gothic"/>
          <w:b/>
        </w:rPr>
        <w:t>/2023</w:t>
      </w:r>
      <w:r w:rsidRPr="007F489F">
        <w:rPr>
          <w:rFonts w:ascii="Century Gothic" w:hAnsi="Century Gothic"/>
        </w:rPr>
        <w:t xml:space="preserve">, no Departamento de Licitação da Prefeitura Municipal de </w:t>
      </w:r>
      <w:r w:rsidR="0094166E" w:rsidRPr="007F489F">
        <w:rPr>
          <w:rFonts w:ascii="Century Gothic" w:hAnsi="Century Gothic"/>
        </w:rPr>
        <w:t>Santo Antônio do Grama</w:t>
      </w:r>
      <w:r w:rsidR="00A82D99" w:rsidRPr="007F489F">
        <w:rPr>
          <w:rFonts w:ascii="Century Gothic" w:hAnsi="Century Gothic"/>
        </w:rPr>
        <w:t>, Estado de Minas Gerais</w:t>
      </w:r>
      <w:r w:rsidRPr="007F489F">
        <w:rPr>
          <w:rFonts w:ascii="Century Gothic" w:hAnsi="Century Gothic"/>
        </w:rPr>
        <w:t xml:space="preserve">, situado à </w:t>
      </w:r>
      <w:r w:rsidR="00403C6F" w:rsidRPr="007F489F">
        <w:rPr>
          <w:rFonts w:ascii="Century Gothic" w:hAnsi="Century Gothic"/>
        </w:rPr>
        <w:t xml:space="preserve">Rua </w:t>
      </w:r>
      <w:r w:rsidR="0094166E" w:rsidRPr="007F489F">
        <w:rPr>
          <w:rFonts w:ascii="Century Gothic" w:hAnsi="Century Gothic"/>
        </w:rPr>
        <w:t>Padre João Coutinho</w:t>
      </w:r>
      <w:r w:rsidRPr="007F489F">
        <w:rPr>
          <w:rFonts w:ascii="Century Gothic" w:hAnsi="Century Gothic"/>
        </w:rPr>
        <w:t xml:space="preserve">, </w:t>
      </w:r>
      <w:r w:rsidR="0094166E" w:rsidRPr="007F489F">
        <w:rPr>
          <w:rFonts w:ascii="Century Gothic" w:hAnsi="Century Gothic"/>
        </w:rPr>
        <w:t>121</w:t>
      </w:r>
      <w:r w:rsidRPr="007F489F">
        <w:rPr>
          <w:rFonts w:ascii="Century Gothic" w:hAnsi="Century Gothic"/>
        </w:rPr>
        <w:t xml:space="preserve">, Bairro </w:t>
      </w:r>
      <w:r w:rsidR="00B200B2" w:rsidRPr="007F489F">
        <w:rPr>
          <w:rFonts w:ascii="Century Gothic" w:hAnsi="Century Gothic"/>
        </w:rPr>
        <w:t>Centro</w:t>
      </w:r>
      <w:r w:rsidRPr="007F489F">
        <w:rPr>
          <w:rFonts w:ascii="Century Gothic" w:hAnsi="Century Gothic"/>
        </w:rPr>
        <w:t>.</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b/>
        </w:rPr>
        <w:t xml:space="preserve">A abertura desta licitação ocorrerá no dia </w:t>
      </w:r>
      <w:r w:rsidR="00B32B3B" w:rsidRPr="007F489F">
        <w:rPr>
          <w:rFonts w:ascii="Century Gothic" w:hAnsi="Century Gothic"/>
          <w:b/>
        </w:rPr>
        <w:t>20</w:t>
      </w:r>
      <w:r w:rsidR="00322BFB" w:rsidRPr="007F489F">
        <w:rPr>
          <w:rFonts w:ascii="Century Gothic" w:hAnsi="Century Gothic"/>
          <w:b/>
        </w:rPr>
        <w:t>/10</w:t>
      </w:r>
      <w:r w:rsidR="00FD2D7B" w:rsidRPr="007F489F">
        <w:rPr>
          <w:rFonts w:ascii="Century Gothic" w:hAnsi="Century Gothic"/>
          <w:b/>
        </w:rPr>
        <w:t>/2023</w:t>
      </w:r>
      <w:r w:rsidRPr="007F489F">
        <w:rPr>
          <w:rFonts w:ascii="Century Gothic" w:hAnsi="Century Gothic"/>
          <w:b/>
        </w:rPr>
        <w:t xml:space="preserve">, às </w:t>
      </w:r>
      <w:r w:rsidR="00322BFB" w:rsidRPr="007F489F">
        <w:rPr>
          <w:rFonts w:ascii="Century Gothic" w:hAnsi="Century Gothic"/>
        </w:rPr>
        <w:t>0</w:t>
      </w:r>
      <w:r w:rsidR="00B32B3B" w:rsidRPr="007F489F">
        <w:rPr>
          <w:rFonts w:ascii="Century Gothic" w:hAnsi="Century Gothic"/>
        </w:rPr>
        <w:t>8</w:t>
      </w:r>
      <w:r w:rsidR="00322BFB" w:rsidRPr="007F489F">
        <w:rPr>
          <w:rFonts w:ascii="Century Gothic" w:hAnsi="Century Gothic"/>
        </w:rPr>
        <w:t>hs00</w:t>
      </w:r>
      <w:r w:rsidR="00396182" w:rsidRPr="007F489F">
        <w:rPr>
          <w:rFonts w:ascii="Century Gothic" w:hAnsi="Century Gothic"/>
        </w:rPr>
        <w:t>min</w:t>
      </w:r>
      <w:r w:rsidR="003369C3" w:rsidRPr="007F489F">
        <w:rPr>
          <w:rFonts w:ascii="Century Gothic" w:hAnsi="Century Gothic"/>
        </w:rPr>
        <w:t xml:space="preserve"> </w:t>
      </w:r>
      <w:r w:rsidRPr="007F489F">
        <w:rPr>
          <w:rFonts w:ascii="Century Gothic" w:hAnsi="Century Gothic"/>
        </w:rPr>
        <w:t>do horário local, dando-se início ao certame com a fase de credenciamento.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Quaisquer dúvidas</w:t>
      </w:r>
      <w:r w:rsidR="00D70284" w:rsidRPr="007F489F">
        <w:rPr>
          <w:rFonts w:ascii="Century Gothic" w:hAnsi="Century Gothic"/>
        </w:rPr>
        <w:t xml:space="preserve"> </w:t>
      </w:r>
      <w:r w:rsidRPr="007F489F">
        <w:rPr>
          <w:rFonts w:ascii="Century Gothic" w:hAnsi="Century Gothic"/>
        </w:rPr>
        <w:t xml:space="preserve">pelo telefone </w:t>
      </w:r>
      <w:r w:rsidR="00B836DB" w:rsidRPr="007F489F">
        <w:rPr>
          <w:rFonts w:ascii="Century Gothic" w:hAnsi="Century Gothic"/>
        </w:rPr>
        <w:t>(31) 3872-5005</w:t>
      </w:r>
      <w:r w:rsidRPr="007F489F">
        <w:rPr>
          <w:rFonts w:ascii="Century Gothic" w:hAnsi="Century Gothic"/>
        </w:rPr>
        <w:t xml:space="preserve"> ou pelo e-mail: </w:t>
      </w:r>
      <w:hyperlink r:id="rId8" w:history="1">
        <w:r w:rsidR="0094166E" w:rsidRPr="007F489F">
          <w:rPr>
            <w:rStyle w:val="Hyperlink"/>
            <w:rFonts w:ascii="Century Gothic" w:hAnsi="Century Gothic"/>
            <w:color w:val="auto"/>
          </w:rPr>
          <w:t>compraselicitacao@gmail.com</w:t>
        </w:r>
      </w:hyperlink>
      <w:r w:rsidR="00A82D99" w:rsidRPr="007F489F">
        <w:rPr>
          <w:rFonts w:ascii="Century Gothic" w:hAnsi="Century Gothic"/>
        </w:rPr>
        <w:t>.</w:t>
      </w:r>
    </w:p>
    <w:p w:rsidR="00A82D99" w:rsidRPr="007F489F" w:rsidRDefault="00A82D99"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DISPOSIÇÕES PRELIMINARES</w:t>
      </w:r>
    </w:p>
    <w:p w:rsidR="007D0407"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O Pregão presencial será realizado em sessão pública em todas as suas fases.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Os trabalhos serão conduzidos por funcionári</w:t>
      </w:r>
      <w:r w:rsidR="00EF613A" w:rsidRPr="007F489F">
        <w:rPr>
          <w:rFonts w:ascii="Century Gothic" w:hAnsi="Century Gothic"/>
        </w:rPr>
        <w:t>a</w:t>
      </w:r>
      <w:r w:rsidRPr="007F489F">
        <w:rPr>
          <w:rFonts w:ascii="Century Gothic" w:hAnsi="Century Gothic"/>
        </w:rPr>
        <w:t xml:space="preserve"> da Prefeitura Municipal de </w:t>
      </w:r>
      <w:r w:rsidR="0094166E" w:rsidRPr="007F489F">
        <w:rPr>
          <w:rFonts w:ascii="Century Gothic" w:hAnsi="Century Gothic"/>
        </w:rPr>
        <w:t>Santo Antônio do Grama</w:t>
      </w:r>
      <w:r w:rsidRPr="007F489F">
        <w:rPr>
          <w:rFonts w:ascii="Century Gothic" w:hAnsi="Century Gothic"/>
        </w:rPr>
        <w:t>, denominad</w:t>
      </w:r>
      <w:r w:rsidR="00EF613A" w:rsidRPr="007F489F">
        <w:rPr>
          <w:rFonts w:ascii="Century Gothic" w:hAnsi="Century Gothic"/>
        </w:rPr>
        <w:t>a</w:t>
      </w:r>
      <w:r w:rsidR="00A903C5"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b/>
        </w:rPr>
        <w:t>IMPORTANTE:</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 xml:space="preserve">• O acolhimento das propostas será feito até as </w:t>
      </w:r>
      <w:r w:rsidR="00B32B3B" w:rsidRPr="007F489F">
        <w:rPr>
          <w:rFonts w:ascii="Century Gothic" w:hAnsi="Century Gothic"/>
          <w:b/>
        </w:rPr>
        <w:t>08</w:t>
      </w:r>
      <w:r w:rsidR="00DE465E" w:rsidRPr="007F489F">
        <w:rPr>
          <w:rFonts w:ascii="Century Gothic" w:hAnsi="Century Gothic"/>
          <w:b/>
        </w:rPr>
        <w:t>hs00min</w:t>
      </w:r>
      <w:r w:rsidR="00DE465E" w:rsidRPr="007F489F">
        <w:rPr>
          <w:rFonts w:ascii="Century Gothic" w:hAnsi="Century Gothic"/>
        </w:rPr>
        <w:t xml:space="preserve"> </w:t>
      </w:r>
      <w:r w:rsidRPr="007F489F">
        <w:rPr>
          <w:rFonts w:ascii="Century Gothic" w:hAnsi="Century Gothic"/>
        </w:rPr>
        <w:t xml:space="preserve">horário local, do dia </w:t>
      </w:r>
      <w:r w:rsidR="00B32B3B" w:rsidRPr="007F489F">
        <w:rPr>
          <w:rFonts w:ascii="Century Gothic" w:hAnsi="Century Gothic"/>
        </w:rPr>
        <w:t>20</w:t>
      </w:r>
      <w:r w:rsidR="003369C3" w:rsidRPr="007F489F">
        <w:rPr>
          <w:rFonts w:ascii="Century Gothic" w:hAnsi="Century Gothic"/>
        </w:rPr>
        <w:t>/</w:t>
      </w:r>
      <w:r w:rsidR="00322BFB" w:rsidRPr="007F489F">
        <w:rPr>
          <w:rFonts w:ascii="Century Gothic" w:hAnsi="Century Gothic"/>
        </w:rPr>
        <w:t>10</w:t>
      </w:r>
      <w:r w:rsidR="00FD2D7B" w:rsidRPr="007F489F">
        <w:rPr>
          <w:rFonts w:ascii="Century Gothic" w:hAnsi="Century Gothic"/>
        </w:rPr>
        <w:t>/2023</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b/>
        </w:rPr>
        <w:t xml:space="preserve">• </w:t>
      </w:r>
      <w:r w:rsidRPr="007F489F">
        <w:rPr>
          <w:rFonts w:ascii="Century Gothic" w:hAnsi="Century Gothic"/>
        </w:rPr>
        <w:t>Abertura da sessão ocorrerá às</w:t>
      </w:r>
      <w:r w:rsidRPr="007F489F">
        <w:rPr>
          <w:rFonts w:ascii="Century Gothic" w:hAnsi="Century Gothic"/>
          <w:b/>
        </w:rPr>
        <w:t xml:space="preserve"> </w:t>
      </w:r>
      <w:r w:rsidR="00B32B3B" w:rsidRPr="007F489F">
        <w:rPr>
          <w:rFonts w:ascii="Century Gothic" w:hAnsi="Century Gothic"/>
          <w:b/>
        </w:rPr>
        <w:t>08</w:t>
      </w:r>
      <w:r w:rsidR="00810309" w:rsidRPr="007F489F">
        <w:rPr>
          <w:rFonts w:ascii="Century Gothic" w:hAnsi="Century Gothic"/>
          <w:b/>
        </w:rPr>
        <w:t>hs</w:t>
      </w:r>
      <w:r w:rsidR="003F7C2E">
        <w:rPr>
          <w:rFonts w:ascii="Century Gothic" w:hAnsi="Century Gothic"/>
          <w:b/>
        </w:rPr>
        <w:t>1</w:t>
      </w:r>
      <w:r w:rsidR="00322BFB" w:rsidRPr="007F489F">
        <w:rPr>
          <w:rFonts w:ascii="Century Gothic" w:hAnsi="Century Gothic"/>
          <w:b/>
        </w:rPr>
        <w:t>0</w:t>
      </w:r>
      <w:r w:rsidR="009241C6" w:rsidRPr="007F489F">
        <w:rPr>
          <w:rFonts w:ascii="Century Gothic" w:hAnsi="Century Gothic"/>
          <w:b/>
        </w:rPr>
        <w:t>min</w:t>
      </w:r>
      <w:r w:rsidRPr="007F489F">
        <w:rPr>
          <w:rFonts w:ascii="Century Gothic" w:hAnsi="Century Gothic"/>
        </w:rPr>
        <w:t xml:space="preserve">, horário local, do dia </w:t>
      </w:r>
      <w:r w:rsidR="00B32B3B" w:rsidRPr="007F489F">
        <w:rPr>
          <w:rFonts w:ascii="Century Gothic" w:hAnsi="Century Gothic"/>
        </w:rPr>
        <w:t>20</w:t>
      </w:r>
      <w:r w:rsidR="00322BFB" w:rsidRPr="007F489F">
        <w:rPr>
          <w:rFonts w:ascii="Century Gothic" w:hAnsi="Century Gothic"/>
        </w:rPr>
        <w:t>/10</w:t>
      </w:r>
      <w:r w:rsidR="00FD2D7B" w:rsidRPr="007F489F">
        <w:rPr>
          <w:rFonts w:ascii="Century Gothic" w:hAnsi="Century Gothic"/>
        </w:rPr>
        <w:t>/2023</w:t>
      </w:r>
      <w:r w:rsidRPr="007F489F">
        <w:rPr>
          <w:rFonts w:ascii="Century Gothic" w:hAnsi="Century Gothic"/>
        </w:rPr>
        <w:t>, dando-se início, em seguida, ao credenciamento.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A Disputa de Preços terá início após o fim do credenciamento.</w:t>
      </w:r>
    </w:p>
    <w:p w:rsidR="00031916" w:rsidRPr="007F489F" w:rsidRDefault="00031916" w:rsidP="00031916">
      <w:pPr>
        <w:spacing w:before="100" w:beforeAutospacing="1" w:after="100" w:afterAutospacing="1"/>
        <w:jc w:val="both"/>
        <w:rPr>
          <w:rFonts w:ascii="Century Gothic" w:hAnsi="Century Gothic"/>
          <w:b/>
        </w:rPr>
      </w:pPr>
      <w:r w:rsidRPr="007F489F">
        <w:rPr>
          <w:rFonts w:ascii="Century Gothic" w:hAnsi="Century Gothic"/>
          <w:b/>
        </w:rPr>
        <w:lastRenderedPageBreak/>
        <w:t>1. DOS ÓRGÃOS PARTICIPANTES E NÃO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1.1. Órgão Gerenciador</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 xml:space="preserve">1.1.1. O órgão gerenciador deste registo de preços será </w:t>
      </w:r>
      <w:r w:rsidR="001A0409" w:rsidRPr="007F489F">
        <w:rPr>
          <w:rFonts w:ascii="Century Gothic" w:hAnsi="Century Gothic"/>
        </w:rPr>
        <w:t xml:space="preserve">a Secretaria Municipal de Saúde de </w:t>
      </w:r>
      <w:r w:rsidRPr="007F489F">
        <w:rPr>
          <w:rFonts w:ascii="Century Gothic" w:hAnsi="Century Gothic"/>
        </w:rPr>
        <w:t>Santo Antônio do Grama/MG, através do gestor da ata de registro de preços.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1.2. Órgãos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1.2.1. Os órgãos ou entidades da Administração Pública a seguir são participantes e integram todo o procedimento licitatório e a Ata de Registro de Preços: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1.2.1.1. Prefeitura mu</w:t>
      </w:r>
      <w:r w:rsidR="001A0409" w:rsidRPr="007F489F">
        <w:rPr>
          <w:rFonts w:ascii="Century Gothic" w:hAnsi="Century Gothic"/>
        </w:rPr>
        <w:t>nicipal e secretarias municipal de saúde</w:t>
      </w:r>
      <w:r w:rsidRPr="007F489F">
        <w:rPr>
          <w:rFonts w:ascii="Century Gothic" w:hAnsi="Century Gothic"/>
        </w:rPr>
        <w:t>;</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 Órgãos Não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1.3.2. Outros entes da Administração Pública e entidades privadas poderão igualmente utilizar-se da ARP, como órgão ou entidade não participante, mediante prévia anuência do órgão gerenciador, desde que observadas as condições estabelecidas no item 1.1.</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couber, as condições e as regras estabelecidas na Legislação Municipal, e na Lei nº 8.666/93.</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aderirem, devendo o órgão gerenciador especificar o quantitativo que autoriza adesão, mantendo registro no procedimento licitatório.</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1.3.5. Ao órgão ou entidade não participante que aderir à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1.4. As comunicações, informações e os termos de adesão realizados entre o órgão gerenciador e os órgãos participantes e não participantes serão formalizados nos autos do procedimento licitatório.</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lastRenderedPageBreak/>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1.6. Para o remanejamento de quantidades entre órgãos participantes do procedimento licitatório não será necessária autorização do beneficiário da Ata de Registro de Preços.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1.7. Caso o órgão gerenciador autorize o remanejamento de quantidades para órgãos não participantes estes deverão obter anuência do beneficiário ARP.</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1.8. O órgão gerenciador somente poderá reduzir o quantitativo inicialmente informado pelo órgão participante, com a sua anuência.</w:t>
      </w:r>
    </w:p>
    <w:p w:rsidR="00A82D99" w:rsidRPr="007F489F" w:rsidRDefault="00A82D99"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2 – DO OBJETO</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 xml:space="preserve">2.1.É objeto do presente certame </w:t>
      </w:r>
      <w:r w:rsidR="00FD2D7B" w:rsidRPr="007F489F">
        <w:rPr>
          <w:rFonts w:ascii="Century Gothic" w:hAnsi="Century Gothic"/>
        </w:rPr>
        <w:t>o registro de preço para eventual e futura</w:t>
      </w:r>
      <w:r w:rsidR="00FD2D7B" w:rsidRPr="007F489F">
        <w:rPr>
          <w:rFonts w:ascii="Century Gothic" w:hAnsi="Century Gothic"/>
          <w:b/>
        </w:rPr>
        <w:t xml:space="preserve"> </w:t>
      </w:r>
      <w:r w:rsidR="001A0409" w:rsidRPr="007F489F">
        <w:rPr>
          <w:rFonts w:ascii="Century Gothic" w:hAnsi="Century Gothic" w:cs="Arial"/>
        </w:rPr>
        <w:t>Registro de preços, para futura e eventual aquisição de suplementos alimentares, fórmulas infantis, leites especiais para manutenção das atividades da Secretaria de Saúde, conforme solicitação</w:t>
      </w:r>
      <w:r w:rsidRPr="007F489F">
        <w:rPr>
          <w:rFonts w:ascii="Century Gothic" w:hAnsi="Century Gothic"/>
        </w:rPr>
        <w:t>. A descrição detalhada do objeto e quantitativos da presente licitação constam do Anexo I deste Edital.</w:t>
      </w:r>
    </w:p>
    <w:p w:rsidR="002255CA" w:rsidRPr="007F489F" w:rsidRDefault="002255CA" w:rsidP="002255CA">
      <w:pPr>
        <w:spacing w:before="100" w:beforeAutospacing="1" w:after="100" w:afterAutospacing="1"/>
        <w:jc w:val="both"/>
        <w:rPr>
          <w:rFonts w:ascii="Century Gothic" w:hAnsi="Century Gothic"/>
        </w:rPr>
      </w:pPr>
      <w:r w:rsidRPr="007F489F">
        <w:rPr>
          <w:rFonts w:ascii="Century Gothic" w:hAnsi="Century Gothic"/>
        </w:rPr>
        <w:t>2.2. A existência de preços registrados não</w:t>
      </w:r>
      <w:r w:rsidR="00A903C5" w:rsidRPr="007F489F">
        <w:rPr>
          <w:rFonts w:ascii="Century Gothic" w:hAnsi="Century Gothic"/>
        </w:rPr>
        <w:t xml:space="preserve"> </w:t>
      </w:r>
      <w:r w:rsidRPr="007F489F">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7F489F" w:rsidRDefault="0036302D" w:rsidP="0036302D">
      <w:pPr>
        <w:spacing w:before="100" w:beforeAutospacing="1" w:after="100" w:afterAutospacing="1"/>
        <w:jc w:val="both"/>
        <w:rPr>
          <w:rFonts w:ascii="Century Gothic" w:hAnsi="Century Gothic"/>
        </w:rPr>
      </w:pPr>
      <w:r w:rsidRPr="007F489F">
        <w:rPr>
          <w:rFonts w:ascii="Century Gothic" w:hAnsi="Century Gothic"/>
        </w:rPr>
        <w:t>2.3. Este PREGÃO é do tipo menor preço</w:t>
      </w:r>
      <w:r w:rsidR="005B4013" w:rsidRPr="007F489F">
        <w:rPr>
          <w:rFonts w:ascii="Century Gothic" w:hAnsi="Century Gothic"/>
        </w:rPr>
        <w:t>,</w:t>
      </w:r>
      <w:r w:rsidR="00031916" w:rsidRPr="007F489F">
        <w:rPr>
          <w:rFonts w:ascii="Century Gothic" w:hAnsi="Century Gothic"/>
        </w:rPr>
        <w:t xml:space="preserve"> por lote</w:t>
      </w:r>
      <w:r w:rsidR="00A903C5" w:rsidRPr="007F489F">
        <w:rPr>
          <w:rFonts w:ascii="Century Gothic" w:hAnsi="Century Gothic"/>
        </w:rPr>
        <w:t>,</w:t>
      </w:r>
      <w:r w:rsidR="005B4013" w:rsidRPr="007F489F">
        <w:rPr>
          <w:rFonts w:ascii="Century Gothic" w:hAnsi="Century Gothic"/>
        </w:rPr>
        <w:t xml:space="preserve"> </w:t>
      </w:r>
      <w:r w:rsidRPr="007F489F">
        <w:rPr>
          <w:rFonts w:ascii="Century Gothic" w:hAnsi="Century Gothic"/>
        </w:rPr>
        <w:t>nos termos do Art. 45, §1º, I, da Lei 8666/93.</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2.4. Os Órgãos participantes não se obrigam a adquirir do licitante vencedor os itens relacionados e nem as quantidades indicadas podendo até realizar licitação específica para o objeto informado, hipótese em que, em igualdade de condições, o beneficiário do Registro terá preferência, nos termos do art. 15, § 4º da Lei 8.666/93.</w:t>
      </w:r>
    </w:p>
    <w:p w:rsidR="00031916" w:rsidRPr="007F489F" w:rsidRDefault="00031916" w:rsidP="00031916">
      <w:pPr>
        <w:spacing w:before="100" w:beforeAutospacing="1" w:after="100" w:afterAutospacing="1"/>
        <w:jc w:val="both"/>
        <w:rPr>
          <w:rFonts w:ascii="Century Gothic" w:hAnsi="Century Gothic"/>
          <w:b/>
        </w:rPr>
      </w:pPr>
      <w:r w:rsidRPr="007F489F">
        <w:rPr>
          <w:rFonts w:ascii="Century Gothic" w:hAnsi="Century Gothic"/>
          <w:b/>
        </w:rPr>
        <w:t xml:space="preserve">2.5. 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tudo em conformidade com a Jurisprudência do Tribunal de Contas do Estado de Minas Gerais: </w:t>
      </w:r>
      <w:hyperlink r:id="rId9" w:anchor="Mesorregi%C3%A3o_da_Zona_da_Mata" w:history="1">
        <w:r w:rsidRPr="007F489F">
          <w:rPr>
            <w:rStyle w:val="Hyperlink"/>
            <w:rFonts w:ascii="Century Gothic" w:hAnsi="Century Gothic"/>
            <w:b/>
          </w:rPr>
          <w:t>https://pt.wikipedia.org/wiki/Lista_de_mesorregi%C3%B5es_e_microrregi%C3%B5es_de_Minas_Gerais#Mesorregi%C3%A3o_da_Zona_da_Mata</w:t>
        </w:r>
      </w:hyperlink>
      <w:r w:rsidRPr="007F489F">
        <w:rPr>
          <w:rFonts w:ascii="Century Gothic" w:hAnsi="Century Gothic"/>
          <w:b/>
        </w:rPr>
        <w:t>.</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2.7. Em não havendo o cumprimento do disposto no Art. 49 da Lei Complementar Federal nº 123/2006, do item 2.6 deste processo será estendido a todos os participantes.</w:t>
      </w:r>
    </w:p>
    <w:p w:rsidR="00A82D99" w:rsidRPr="007F489F" w:rsidRDefault="00A82D99"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3 – DAS CONDIÇÕES PARA PARTICIPAÇÃO</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3.1. Poderão participar desta licitação:</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3.1.1. Empresas que detenham atividade pertinente e compatível com o objeto deste Pregão Presencial.</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3.1.2. As empresas que atenderem a todas as exigências constantes deste Edital e seus anexos, correndo por sua conta todos os custos decorrentes na elaboração e apresentação </w:t>
      </w:r>
      <w:r w:rsidRPr="007F489F">
        <w:rPr>
          <w:rFonts w:ascii="Century Gothic" w:hAnsi="Century Gothic"/>
        </w:rPr>
        <w:lastRenderedPageBreak/>
        <w:t>de suas propostas, não sendo devida nenhuma indenização às licitantes pela realização de tais atos.</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3.1.3. Comprovem possuir os documentos de habilitação requeridos </w:t>
      </w:r>
      <w:r w:rsidR="00196088" w:rsidRPr="007F489F">
        <w:rPr>
          <w:rFonts w:ascii="Century Gothic" w:hAnsi="Century Gothic"/>
        </w:rPr>
        <w:t>neste edital e anexos</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 Não será admitida nesta licitação a participação de empresas: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3.2.1. Que se encontrem sob falência, concordata, concurso de credores, dissolução ou liquidação;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3.2.2. Que em regime de consórcio, qualquer que seja sua forma de constituição, sejam controladoras, coligadas ou subsidiárias entre si;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3.2.3. Que, por quaisquer motivos, tenham sido declaradas inidôneas por órgão da Administração Pública Direta ou Indireta, nas esferas Federal, Estadual ou Municipal;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3.2.4. Que, por quaisquer motivos, tenham sido punidas, pela Prefeitura Municipal de </w:t>
      </w:r>
      <w:r w:rsidR="0094166E" w:rsidRPr="007F489F">
        <w:rPr>
          <w:rFonts w:ascii="Century Gothic" w:hAnsi="Century Gothic"/>
        </w:rPr>
        <w:t>Santo Antônio do Grama</w:t>
      </w:r>
      <w:r w:rsidRPr="007F489F">
        <w:rPr>
          <w:rFonts w:ascii="Century Gothic" w:hAnsi="Century Gothic"/>
        </w:rPr>
        <w:t>, com a suspensão temporária do direito de licitar ou contratar com a mesma;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3.2.5. Estrangeiras que não funcionem no País.</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 A admissão à participação de consórcios obedecerá ao disposto nos itens a seguir, da forma do art. 33 da Lei nº 8.666/93: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3.2.6.2. Indicação dos compromissos e obrigações, bem como o percentual de participação de cada empresa no consórcio, em relação ao objeto deste certame.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lastRenderedPageBreak/>
        <w:t>3.2.6.8. O consórcio apresentará, em conjunto, a documentação relativa à habilitação jurídica, técnica, econômico-financeira e de regularidade fiscal.</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3.2.6.9. As empresas consorciadas poderão somar os seus quantitativos técnicos.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3.2.6.10. O Patrimônio Líquido, </w:t>
      </w:r>
      <w:r w:rsidR="00196088" w:rsidRPr="007F489F">
        <w:rPr>
          <w:rFonts w:ascii="Century Gothic" w:hAnsi="Century Gothic"/>
        </w:rPr>
        <w:t xml:space="preserve">se </w:t>
      </w:r>
      <w:r w:rsidRPr="007F489F">
        <w:rPr>
          <w:rFonts w:ascii="Century Gothic" w:hAnsi="Century Gothic"/>
        </w:rPr>
        <w:t xml:space="preserve">solicitado, deverá ser comprovado coletivamente na proporção da participação de cada empresa no consórcio, para o fim de atingir o limite fixado neste Edital.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3.2.6.11. O índice econômico-financeiro</w:t>
      </w:r>
      <w:r w:rsidR="00196088" w:rsidRPr="007F489F">
        <w:rPr>
          <w:rFonts w:ascii="Century Gothic" w:hAnsi="Century Gothic"/>
        </w:rPr>
        <w:t>, se solicitado</w:t>
      </w:r>
      <w:r w:rsidRPr="007F489F">
        <w:rPr>
          <w:rFonts w:ascii="Century Gothic" w:hAnsi="Century Gothic"/>
        </w:rPr>
        <w:t>, deverá ser comprovado por cada empresa integrante do consórcio.</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3.2.6.12. Uma empresa não poderá participar da licitação isoladamente e em consórcio simultaneamente, nem em mais de um consórcio. </w:t>
      </w:r>
    </w:p>
    <w:p w:rsidR="00E56387" w:rsidRPr="007F489F" w:rsidRDefault="00E56387"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4 – DO CREDENCIAMENTO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4.1. No início da sessão, cada empresa licitante poderá credenciar apenas um representante, o qual deverá identificar-se junto a </w:t>
      </w:r>
      <w:r w:rsidR="003D1D83" w:rsidRPr="007F489F">
        <w:rPr>
          <w:rFonts w:ascii="Century Gothic" w:hAnsi="Century Gothic"/>
        </w:rPr>
        <w:t>PREGOEIRA</w:t>
      </w:r>
      <w:r w:rsidRPr="007F489F">
        <w:rPr>
          <w:rFonts w:ascii="Century Gothic" w:hAnsi="Century Gothic"/>
        </w:rPr>
        <w:t xml:space="preserve"> quando solicitado, exibindo os respectivos documentos para a prática dos demais atos inerentes ao certame. </w:t>
      </w:r>
    </w:p>
    <w:p w:rsidR="00417AE8" w:rsidRPr="007F489F" w:rsidRDefault="00E56387" w:rsidP="00141B6C">
      <w:pPr>
        <w:spacing w:before="100" w:beforeAutospacing="1" w:after="100" w:afterAutospacing="1"/>
        <w:jc w:val="both"/>
        <w:rPr>
          <w:rFonts w:ascii="Century Gothic" w:hAnsi="Century Gothic"/>
        </w:rPr>
      </w:pPr>
      <w:r w:rsidRPr="007F489F">
        <w:rPr>
          <w:rFonts w:ascii="Century Gothic" w:hAnsi="Century Gothic"/>
        </w:rPr>
        <w:t>a)</w:t>
      </w:r>
      <w:r w:rsidR="00417AE8" w:rsidRPr="007F489F">
        <w:rPr>
          <w:rFonts w:ascii="Century Gothic" w:hAnsi="Century Gothic"/>
        </w:rPr>
        <w:t xml:space="preserve"> </w:t>
      </w:r>
      <w:r w:rsidR="00417AE8" w:rsidRPr="007F489F">
        <w:rPr>
          <w:rFonts w:ascii="Century Gothic" w:hAnsi="Century Gothic"/>
          <w:b/>
          <w:u w:val="single"/>
        </w:rPr>
        <w:t>Se a empresa se fizer representar por procurador</w:t>
      </w:r>
      <w:r w:rsidR="00417AE8" w:rsidRPr="007F489F">
        <w:rPr>
          <w:rFonts w:ascii="Century Gothic" w:hAnsi="Century Gothic"/>
        </w:rPr>
        <w:t xml:space="preserve">, faz-se necessário o credenciamento através de: </w:t>
      </w:r>
    </w:p>
    <w:p w:rsidR="00E56387"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*Cópia da cédula de identidade ou documento equivalente do procurador; </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7F489F">
        <w:rPr>
          <w:rFonts w:ascii="Century Gothic" w:hAnsi="Century Gothic"/>
          <w:b/>
          <w:u w:val="single"/>
        </w:rPr>
        <w:t>com firma reconhecida;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*Cópia do Contrato Social da empresa e todas as suas alterações, se for caso, ou contrato social consolidado em vigor, devidamente registrados na Junta Comercial;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*Declaração de cumprimento dos requisitos de habilitação, de inexistência de fato impeditivo para a habilitação e de conhecimento do instrumento convocatório;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Desta forma, o representante poderá assumir as obrigações decorrentes de tal investidura.</w:t>
      </w:r>
    </w:p>
    <w:p w:rsidR="00417AE8" w:rsidRPr="007F489F" w:rsidRDefault="00E56387" w:rsidP="00141B6C">
      <w:pPr>
        <w:spacing w:before="100" w:beforeAutospacing="1" w:after="100" w:afterAutospacing="1"/>
        <w:jc w:val="both"/>
        <w:rPr>
          <w:rFonts w:ascii="Century Gothic" w:hAnsi="Century Gothic"/>
        </w:rPr>
      </w:pPr>
      <w:r w:rsidRPr="007F489F">
        <w:rPr>
          <w:rFonts w:ascii="Century Gothic" w:hAnsi="Century Gothic"/>
        </w:rPr>
        <w:t>b)</w:t>
      </w:r>
      <w:r w:rsidR="00417AE8" w:rsidRPr="007F489F">
        <w:rPr>
          <w:rFonts w:ascii="Century Gothic" w:hAnsi="Century Gothic"/>
        </w:rPr>
        <w:t xml:space="preserve"> Fazendo-se </w:t>
      </w:r>
      <w:r w:rsidR="00417AE8" w:rsidRPr="007F489F">
        <w:rPr>
          <w:rFonts w:ascii="Century Gothic" w:hAnsi="Century Gothic"/>
          <w:b/>
          <w:u w:val="single"/>
        </w:rPr>
        <w:t>representar a licitante pelo seu sócio-gerente, diretor ou proprietário</w:t>
      </w:r>
      <w:r w:rsidR="00417AE8" w:rsidRPr="007F489F">
        <w:rPr>
          <w:rFonts w:ascii="Century Gothic" w:hAnsi="Century Gothic"/>
        </w:rPr>
        <w:t>, faz-se necessário o credenciamento através de: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w:t>
      </w:r>
      <w:r w:rsidR="00E56387" w:rsidRPr="007F489F">
        <w:rPr>
          <w:rFonts w:ascii="Century Gothic" w:hAnsi="Century Gothic"/>
        </w:rPr>
        <w:t>Cópia</w:t>
      </w:r>
      <w:r w:rsidRPr="007F489F">
        <w:rPr>
          <w:rFonts w:ascii="Century Gothic" w:hAnsi="Century Gothic"/>
        </w:rPr>
        <w:t xml:space="preserve"> da cédula de identidade ou documento equivalente do sócio-gerente, diretor ou proprietário da empresa;</w:t>
      </w:r>
    </w:p>
    <w:p w:rsidR="00E56387" w:rsidRPr="007F489F" w:rsidRDefault="00E56387" w:rsidP="00141B6C">
      <w:pPr>
        <w:spacing w:before="100" w:beforeAutospacing="1" w:after="100" w:afterAutospacing="1"/>
        <w:jc w:val="both"/>
        <w:rPr>
          <w:rFonts w:ascii="Century Gothic" w:hAnsi="Century Gothic"/>
        </w:rPr>
      </w:pPr>
      <w:r w:rsidRPr="007F489F">
        <w:rPr>
          <w:rFonts w:ascii="Century Gothic" w:hAnsi="Century Gothic"/>
        </w:rPr>
        <w:t>*Cópia do documento de Identidade;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*Cópia do Contrato social da empresa e todas as suas alterações, se for caso, ou contrato social consolidado em vigor, devidamente registrados na Junta Comercial;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*Declaração de cumprimento dos requisitos de habilitação, de inexistência de fato impeditivo para a habilitação e de conhecimento do instrumento convocatório;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7F489F" w:rsidRDefault="00D23A6A" w:rsidP="00D23A6A">
      <w:pPr>
        <w:tabs>
          <w:tab w:val="left" w:pos="2408"/>
          <w:tab w:val="left" w:pos="2835"/>
          <w:tab w:val="left" w:pos="3969"/>
        </w:tabs>
        <w:jc w:val="both"/>
        <w:rPr>
          <w:rFonts w:ascii="Century Gothic" w:hAnsi="Century Gothic"/>
          <w:b/>
        </w:rPr>
      </w:pPr>
      <w:r w:rsidRPr="007F489F">
        <w:rPr>
          <w:rFonts w:ascii="Century Gothic" w:hAnsi="Century Gothic"/>
          <w:b/>
        </w:rPr>
        <w:t>4.2. O representante legal, sócio, procurador ou credenciado, deverá identificar-se exibindo documento oficial de i</w:t>
      </w:r>
      <w:r w:rsidR="00D70284" w:rsidRPr="007F489F">
        <w:rPr>
          <w:rFonts w:ascii="Century Gothic" w:hAnsi="Century Gothic"/>
          <w:b/>
        </w:rPr>
        <w:t>dentificação que contenha foto.</w:t>
      </w:r>
    </w:p>
    <w:p w:rsidR="00D23A6A" w:rsidRPr="007F489F" w:rsidRDefault="00D23A6A" w:rsidP="00D23A6A">
      <w:pPr>
        <w:spacing w:before="100" w:beforeAutospacing="1" w:after="100" w:afterAutospacing="1"/>
        <w:jc w:val="both"/>
        <w:rPr>
          <w:rFonts w:ascii="Century Gothic" w:hAnsi="Century Gothic"/>
        </w:rPr>
      </w:pPr>
      <w:r w:rsidRPr="007F489F">
        <w:rPr>
          <w:rFonts w:ascii="Century Gothic" w:hAnsi="Century Gothic"/>
          <w:b/>
        </w:rPr>
        <w:t>4.3. Tratando-se de credenciado</w:t>
      </w:r>
      <w:r w:rsidRPr="007F489F">
        <w:rPr>
          <w:rFonts w:ascii="Century Gothic" w:hAnsi="Century Gothic"/>
        </w:rPr>
        <w:t>, a carta de credenciamento, c</w:t>
      </w:r>
      <w:r w:rsidRPr="007F489F">
        <w:rPr>
          <w:rFonts w:ascii="Century Gothic" w:hAnsi="Century Gothic"/>
          <w:b/>
        </w:rPr>
        <w:t>om FIRMA RECONHECIDA</w:t>
      </w:r>
      <w:r w:rsidRPr="007F489F">
        <w:rPr>
          <w:rFonts w:ascii="Century Gothic" w:hAnsi="Century Gothic"/>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Desta forma, o representante poderá assumir as obrigações decorrentes de tal investidura.</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b/>
        </w:rPr>
        <w:t>4.1.1. Os documentos mencionados no item anterior deverão ser apresentados em fotocópias autenticadas ou fotocópias simples, acompanhadas dos respectivos originais, para a devida autenticação pela Equipe do Pregão.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4.2. Os documentos que credenciam o representante deverão ser entregues separadamente dos envelopes de números 01 e 02, ou seja, fora dos envelopes lacrados.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4.3. Cada credenciado poderá representar apenas uma empresa licitante.</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4.4</w:t>
      </w:r>
      <w:r w:rsidR="00621D75" w:rsidRPr="007F489F">
        <w:rPr>
          <w:rFonts w:ascii="Century Gothic" w:hAnsi="Century Gothic"/>
          <w:b/>
        </w:rPr>
        <w:t>. A FALTA OU INCORREÇÃO DOS DOCUMENTOS MENCIONADOS NOS ITENS 4.1 (A E B)</w:t>
      </w:r>
      <w:r w:rsidR="00621D75" w:rsidRPr="007F489F">
        <w:rPr>
          <w:rFonts w:ascii="Century Gothic" w:hAnsi="Century Gothic"/>
        </w:rPr>
        <w:t xml:space="preserve"> </w:t>
      </w:r>
      <w:r w:rsidR="00621D75" w:rsidRPr="007F489F">
        <w:rPr>
          <w:rFonts w:ascii="Century Gothic" w:hAnsi="Century Gothic"/>
          <w:b/>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4.5. No caso de microempresa ou empr</w:t>
      </w:r>
      <w:r w:rsidR="00463C46" w:rsidRPr="007F489F">
        <w:rPr>
          <w:rFonts w:ascii="Century Gothic" w:hAnsi="Century Gothic"/>
        </w:rPr>
        <w:t>esa de pequeno porte que queiram</w:t>
      </w:r>
      <w:r w:rsidRPr="007F489F">
        <w:rPr>
          <w:rFonts w:ascii="Century Gothic" w:hAnsi="Century Gothic"/>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7F489F" w:rsidRDefault="00417AE8" w:rsidP="00ED3C52">
      <w:pPr>
        <w:spacing w:before="100" w:beforeAutospacing="1" w:after="100" w:afterAutospacing="1"/>
        <w:jc w:val="both"/>
        <w:rPr>
          <w:rFonts w:ascii="Century Gothic" w:hAnsi="Century Gothic"/>
        </w:rPr>
      </w:pPr>
      <w:r w:rsidRPr="007F489F">
        <w:rPr>
          <w:rFonts w:ascii="Century Gothic" w:hAnsi="Century Gothic"/>
        </w:rPr>
        <w:t>4.6. Os documentos usados no credenciamento poderão ser usados para fins de habilitação, não sendo necessária sua duplicação.</w:t>
      </w:r>
    </w:p>
    <w:p w:rsidR="00ED3C52" w:rsidRPr="007F489F" w:rsidRDefault="00ED3C52" w:rsidP="00ED3C52">
      <w:pPr>
        <w:spacing w:before="100" w:beforeAutospacing="1" w:after="100" w:afterAutospacing="1"/>
        <w:jc w:val="both"/>
        <w:rPr>
          <w:rFonts w:ascii="Century Gothic" w:hAnsi="Century Gothic"/>
        </w:rPr>
      </w:pPr>
      <w:r w:rsidRPr="007F489F">
        <w:rPr>
          <w:rFonts w:ascii="Century Gothic" w:hAnsi="Century Gothic"/>
        </w:rPr>
        <w:lastRenderedPageBreak/>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7F489F" w:rsidRDefault="006262AE" w:rsidP="006262AE">
      <w:pPr>
        <w:spacing w:before="100" w:beforeAutospacing="1" w:after="100" w:afterAutospacing="1"/>
        <w:jc w:val="both"/>
        <w:rPr>
          <w:rFonts w:ascii="Century Gothic" w:hAnsi="Century Gothic"/>
        </w:rPr>
      </w:pPr>
      <w:r w:rsidRPr="007F489F">
        <w:rPr>
          <w:rFonts w:ascii="Century Gothic" w:hAnsi="Century Gothic"/>
        </w:rPr>
        <w:t xml:space="preserve">4.8.  </w:t>
      </w:r>
      <w:r w:rsidRPr="007F489F">
        <w:rPr>
          <w:rFonts w:ascii="Century Gothic" w:hAnsi="Century Gothic"/>
          <w:b/>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7F489F" w:rsidRDefault="00CE5D9D"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5 – DO RECEBIMENTO E DA ABERTURA DOS ENVELOPES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5.1. A reunião para recebimento e abertura dos envelopes contendo a Proposta de Preços e os Documentos de Habilitação será pública, dirigida por </w:t>
      </w:r>
      <w:r w:rsidR="003D1D83" w:rsidRPr="007F489F">
        <w:rPr>
          <w:rFonts w:ascii="Century Gothic" w:hAnsi="Century Gothic"/>
        </w:rPr>
        <w:t>PREGOEIRA</w:t>
      </w:r>
      <w:r w:rsidRPr="007F489F">
        <w:rPr>
          <w:rFonts w:ascii="Century Gothic" w:hAnsi="Century Gothic"/>
        </w:rPr>
        <w:t>, em conformidade com este Edital e seus Anexos, no local e horário determinados no item 1.</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5.2. Declarada aberta a sessão pel</w:t>
      </w:r>
      <w:r w:rsidR="00196088"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o(s) representante(s) da(s) empresa(s) licitante(s) entregará(ão) os envelopes contendo a(s) proposta(s) de preços e os documentos de habilitação, não sendo aceita, a partir desse momento, a admissão de novos licitantes.</w:t>
      </w:r>
    </w:p>
    <w:p w:rsidR="00552D0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5.3. O envelope da Proposta de Preços deverá conter expresso, em seu exterior, as seguintes informações:</w:t>
      </w:r>
    </w:p>
    <w:p w:rsidR="00552D09" w:rsidRPr="007F489F" w:rsidRDefault="00417AE8" w:rsidP="00AA6288">
      <w:pPr>
        <w:ind w:left="1134"/>
        <w:jc w:val="both"/>
        <w:rPr>
          <w:rFonts w:ascii="Century Gothic" w:hAnsi="Century Gothic"/>
        </w:rPr>
      </w:pPr>
      <w:r w:rsidRPr="007F489F">
        <w:rPr>
          <w:rFonts w:ascii="Century Gothic" w:hAnsi="Century Gothic"/>
        </w:rPr>
        <w:t>ENVELOPE “</w:t>
      </w:r>
      <w:smartTag w:uri="urn:schemas-microsoft-com:office:smarttags" w:element="metricconverter">
        <w:smartTagPr>
          <w:attr w:name="ProductID" w:val="01”"/>
        </w:smartTagPr>
        <w:r w:rsidRPr="007F489F">
          <w:rPr>
            <w:rFonts w:ascii="Century Gothic" w:hAnsi="Century Gothic"/>
          </w:rPr>
          <w:t>01”</w:t>
        </w:r>
      </w:smartTag>
      <w:r w:rsidRPr="007F489F">
        <w:rPr>
          <w:rFonts w:ascii="Century Gothic" w:hAnsi="Century Gothic"/>
        </w:rPr>
        <w:t xml:space="preserve"> – PROPOSTA DE PREÇOS</w:t>
      </w:r>
    </w:p>
    <w:p w:rsidR="00552D09" w:rsidRPr="007F489F" w:rsidRDefault="00D32A12" w:rsidP="00AA6288">
      <w:pPr>
        <w:ind w:left="1134"/>
        <w:jc w:val="both"/>
        <w:rPr>
          <w:rFonts w:ascii="Century Gothic" w:hAnsi="Century Gothic"/>
        </w:rPr>
      </w:pPr>
      <w:r w:rsidRPr="007F489F">
        <w:rPr>
          <w:rFonts w:ascii="Century Gothic" w:hAnsi="Century Gothic"/>
        </w:rPr>
        <w:t>DEPARTAMENTO</w:t>
      </w:r>
      <w:r w:rsidR="00417AE8" w:rsidRPr="007F489F">
        <w:rPr>
          <w:rFonts w:ascii="Century Gothic" w:hAnsi="Century Gothic"/>
        </w:rPr>
        <w:t xml:space="preserve"> DE LICITAÇÃO - </w:t>
      </w:r>
      <w:r w:rsidR="0094166E" w:rsidRPr="007F489F">
        <w:rPr>
          <w:rFonts w:ascii="Century Gothic" w:hAnsi="Century Gothic"/>
        </w:rPr>
        <w:t>SANTO ANTÔNIO DO GRAMA</w:t>
      </w:r>
      <w:r w:rsidR="00417AE8" w:rsidRPr="007F489F">
        <w:rPr>
          <w:rFonts w:ascii="Century Gothic" w:hAnsi="Century Gothic"/>
        </w:rPr>
        <w:t>.</w:t>
      </w:r>
    </w:p>
    <w:p w:rsidR="00552D09" w:rsidRPr="007F489F" w:rsidRDefault="001A0409" w:rsidP="00AA6288">
      <w:pPr>
        <w:ind w:left="1134"/>
        <w:jc w:val="both"/>
        <w:rPr>
          <w:rFonts w:ascii="Century Gothic" w:hAnsi="Century Gothic"/>
        </w:rPr>
      </w:pPr>
      <w:r w:rsidRPr="007F489F">
        <w:rPr>
          <w:rFonts w:ascii="Century Gothic" w:hAnsi="Century Gothic"/>
        </w:rPr>
        <w:t>PREGÃO PRESENCIAL Nº 038</w:t>
      </w:r>
      <w:r w:rsidR="00621D75" w:rsidRPr="007F489F">
        <w:rPr>
          <w:rFonts w:ascii="Century Gothic" w:hAnsi="Century Gothic"/>
        </w:rPr>
        <w:t>/2023</w:t>
      </w:r>
    </w:p>
    <w:p w:rsidR="00196088" w:rsidRPr="007F489F" w:rsidRDefault="001A0409" w:rsidP="00AA6288">
      <w:pPr>
        <w:ind w:left="1134"/>
        <w:jc w:val="both"/>
        <w:rPr>
          <w:rFonts w:ascii="Century Gothic" w:hAnsi="Century Gothic"/>
        </w:rPr>
      </w:pPr>
      <w:r w:rsidRPr="007F489F">
        <w:rPr>
          <w:rFonts w:ascii="Century Gothic" w:hAnsi="Century Gothic"/>
        </w:rPr>
        <w:t>REGISTRO DE PREÇO Nº 040</w:t>
      </w:r>
      <w:r w:rsidR="00621D75" w:rsidRPr="007F489F">
        <w:rPr>
          <w:rFonts w:ascii="Century Gothic" w:hAnsi="Century Gothic"/>
        </w:rPr>
        <w:t>/2023</w:t>
      </w:r>
    </w:p>
    <w:p w:rsidR="00552D09" w:rsidRPr="007F489F" w:rsidRDefault="00417AE8" w:rsidP="00AA6288">
      <w:pPr>
        <w:ind w:left="1134"/>
        <w:jc w:val="both"/>
        <w:rPr>
          <w:rFonts w:ascii="Century Gothic" w:hAnsi="Century Gothic"/>
        </w:rPr>
      </w:pPr>
      <w:r w:rsidRPr="007F489F">
        <w:rPr>
          <w:rFonts w:ascii="Century Gothic" w:hAnsi="Century Gothic"/>
        </w:rPr>
        <w:t>RAZÃO SOCIAL DO PROPONENTE</w:t>
      </w:r>
    </w:p>
    <w:p w:rsidR="00552D09" w:rsidRPr="007F489F" w:rsidRDefault="00417AE8" w:rsidP="00AA6288">
      <w:pPr>
        <w:ind w:left="1134"/>
        <w:jc w:val="both"/>
        <w:rPr>
          <w:rFonts w:ascii="Century Gothic" w:hAnsi="Century Gothic"/>
        </w:rPr>
      </w:pPr>
      <w:r w:rsidRPr="007F489F">
        <w:rPr>
          <w:rFonts w:ascii="Century Gothic" w:hAnsi="Century Gothic"/>
        </w:rPr>
        <w:t>DATA E HORÁRIO DA ABERTURA</w:t>
      </w:r>
    </w:p>
    <w:p w:rsidR="00552D0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5.4. O envelope dos Documentos de Habilitação deverá ser expresso, em seu exterior, as seguintes informações:</w:t>
      </w:r>
    </w:p>
    <w:p w:rsidR="00552D09" w:rsidRPr="007F489F" w:rsidRDefault="00417AE8" w:rsidP="00AA6288">
      <w:pPr>
        <w:ind w:left="1134"/>
        <w:jc w:val="both"/>
        <w:rPr>
          <w:rFonts w:ascii="Century Gothic" w:hAnsi="Century Gothic"/>
        </w:rPr>
      </w:pPr>
      <w:r w:rsidRPr="007F489F">
        <w:rPr>
          <w:rFonts w:ascii="Century Gothic" w:hAnsi="Century Gothic"/>
        </w:rPr>
        <w:t>ENVELOPE “</w:t>
      </w:r>
      <w:smartTag w:uri="urn:schemas-microsoft-com:office:smarttags" w:element="metricconverter">
        <w:smartTagPr>
          <w:attr w:name="ProductID" w:val="02”"/>
        </w:smartTagPr>
        <w:r w:rsidRPr="007F489F">
          <w:rPr>
            <w:rFonts w:ascii="Century Gothic" w:hAnsi="Century Gothic"/>
          </w:rPr>
          <w:t>02”</w:t>
        </w:r>
      </w:smartTag>
      <w:r w:rsidRPr="007F489F">
        <w:rPr>
          <w:rFonts w:ascii="Century Gothic" w:hAnsi="Century Gothic"/>
        </w:rPr>
        <w:t xml:space="preserve"> – DOCUMENTOS DE HABILITAÇÃO</w:t>
      </w:r>
    </w:p>
    <w:p w:rsidR="00552D09" w:rsidRPr="007F489F" w:rsidRDefault="00D32A12" w:rsidP="00AA6288">
      <w:pPr>
        <w:ind w:left="1134"/>
        <w:jc w:val="both"/>
        <w:rPr>
          <w:rFonts w:ascii="Century Gothic" w:hAnsi="Century Gothic"/>
        </w:rPr>
      </w:pPr>
      <w:r w:rsidRPr="007F489F">
        <w:rPr>
          <w:rFonts w:ascii="Century Gothic" w:hAnsi="Century Gothic"/>
        </w:rPr>
        <w:t>DEPARTAMENTO</w:t>
      </w:r>
      <w:r w:rsidR="00417AE8" w:rsidRPr="007F489F">
        <w:rPr>
          <w:rFonts w:ascii="Century Gothic" w:hAnsi="Century Gothic"/>
        </w:rPr>
        <w:t xml:space="preserve"> DE LICITAÇÃO </w:t>
      </w:r>
      <w:r w:rsidR="0094166E" w:rsidRPr="007F489F">
        <w:rPr>
          <w:rFonts w:ascii="Century Gothic" w:hAnsi="Century Gothic"/>
        </w:rPr>
        <w:t>SANTO ANTÔNIO DO GRAMA</w:t>
      </w:r>
    </w:p>
    <w:p w:rsidR="00552D09" w:rsidRPr="007F489F" w:rsidRDefault="001A0409" w:rsidP="00AA6288">
      <w:pPr>
        <w:ind w:left="1134"/>
        <w:jc w:val="both"/>
        <w:rPr>
          <w:rFonts w:ascii="Century Gothic" w:hAnsi="Century Gothic"/>
        </w:rPr>
      </w:pPr>
      <w:r w:rsidRPr="007F489F">
        <w:rPr>
          <w:rFonts w:ascii="Century Gothic" w:hAnsi="Century Gothic"/>
        </w:rPr>
        <w:t>PREGÃO PRESENCIAL Nº 038</w:t>
      </w:r>
      <w:r w:rsidR="00621D75" w:rsidRPr="007F489F">
        <w:rPr>
          <w:rFonts w:ascii="Century Gothic" w:hAnsi="Century Gothic"/>
        </w:rPr>
        <w:t>/2023</w:t>
      </w:r>
    </w:p>
    <w:p w:rsidR="00196088" w:rsidRPr="007F489F" w:rsidRDefault="001A0409" w:rsidP="00AA6288">
      <w:pPr>
        <w:ind w:left="1134"/>
        <w:jc w:val="both"/>
        <w:rPr>
          <w:rFonts w:ascii="Century Gothic" w:hAnsi="Century Gothic"/>
        </w:rPr>
      </w:pPr>
      <w:r w:rsidRPr="007F489F">
        <w:rPr>
          <w:rFonts w:ascii="Century Gothic" w:hAnsi="Century Gothic"/>
        </w:rPr>
        <w:t>REGISTRO DE PREÇO Nº 040</w:t>
      </w:r>
      <w:r w:rsidR="00621D75" w:rsidRPr="007F489F">
        <w:rPr>
          <w:rFonts w:ascii="Century Gothic" w:hAnsi="Century Gothic"/>
        </w:rPr>
        <w:t>/2023</w:t>
      </w:r>
    </w:p>
    <w:p w:rsidR="00552D09" w:rsidRPr="007F489F" w:rsidRDefault="00417AE8" w:rsidP="00AA6288">
      <w:pPr>
        <w:ind w:left="1134"/>
        <w:jc w:val="both"/>
        <w:rPr>
          <w:rFonts w:ascii="Century Gothic" w:hAnsi="Century Gothic"/>
        </w:rPr>
      </w:pPr>
      <w:r w:rsidRPr="007F489F">
        <w:rPr>
          <w:rFonts w:ascii="Century Gothic" w:hAnsi="Century Gothic"/>
        </w:rPr>
        <w:t>RAZÃO SOCIAL DO PROPONENTE</w:t>
      </w:r>
    </w:p>
    <w:p w:rsidR="00552D09" w:rsidRPr="007F489F" w:rsidRDefault="00417AE8" w:rsidP="00AA6288">
      <w:pPr>
        <w:ind w:left="1134"/>
        <w:jc w:val="both"/>
        <w:rPr>
          <w:rFonts w:ascii="Century Gothic" w:hAnsi="Century Gothic"/>
        </w:rPr>
      </w:pPr>
      <w:r w:rsidRPr="007F489F">
        <w:rPr>
          <w:rFonts w:ascii="Century Gothic" w:hAnsi="Century Gothic"/>
        </w:rPr>
        <w:t>DATA E HORÁRIO DA ABERTURA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5.5. Inicialmente, será aberto o ENVELOPE 01 - PROPOSTA DE PREÇOS, e após a rodada de negociações, o ENVELOPE 02 - DOCUMENTOS DE HABILITAÇÃO.</w:t>
      </w:r>
    </w:p>
    <w:p w:rsidR="0030239D" w:rsidRPr="007F489F" w:rsidRDefault="00552D09" w:rsidP="0030239D">
      <w:pPr>
        <w:spacing w:before="100" w:beforeAutospacing="1" w:after="100" w:afterAutospacing="1"/>
        <w:jc w:val="both"/>
        <w:rPr>
          <w:rFonts w:ascii="Century Gothic" w:hAnsi="Century Gothic"/>
          <w:b/>
          <w:u w:val="single"/>
        </w:rPr>
      </w:pPr>
      <w:r w:rsidRPr="007F489F">
        <w:rPr>
          <w:rFonts w:ascii="Century Gothic" w:hAnsi="Century Gothic"/>
          <w:b/>
          <w:u w:val="single"/>
        </w:rPr>
        <w:t xml:space="preserve">6 – </w:t>
      </w:r>
      <w:r w:rsidR="0030239D" w:rsidRPr="007F489F">
        <w:rPr>
          <w:rFonts w:ascii="Century Gothic" w:hAnsi="Century Gothic"/>
          <w:b/>
          <w:u w:val="single"/>
        </w:rPr>
        <w:t>PARTICIPAÇÃO DE MICRO EMPRESA E EMPRESA DE PEQUENO PORTE LOCAIS E REGIONAIS</w:t>
      </w:r>
    </w:p>
    <w:p w:rsidR="004F1522" w:rsidRPr="007F489F" w:rsidRDefault="0030239D" w:rsidP="0030239D">
      <w:pPr>
        <w:spacing w:before="100" w:beforeAutospacing="1" w:after="100" w:afterAutospacing="1"/>
        <w:jc w:val="both"/>
        <w:rPr>
          <w:rFonts w:ascii="Century Gothic" w:eastAsia="Calibri" w:hAnsi="Century Gothic" w:cs="Arial"/>
          <w:lang w:eastAsia="en-US"/>
        </w:rPr>
      </w:pPr>
      <w:r w:rsidRPr="007F489F">
        <w:rPr>
          <w:rFonts w:ascii="Century Gothic" w:hAnsi="Century Gothic"/>
        </w:rPr>
        <w:t xml:space="preserve">6.1. </w:t>
      </w:r>
      <w:r w:rsidR="004F1522" w:rsidRPr="007F489F">
        <w:rPr>
          <w:rFonts w:ascii="Century Gothic" w:hAnsi="Century Gothic"/>
        </w:rPr>
        <w:t xml:space="preserve">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w:t>
      </w:r>
      <w:r w:rsidR="004F1522" w:rsidRPr="007F489F">
        <w:rPr>
          <w:rFonts w:ascii="Century Gothic" w:eastAsia="Calibri" w:hAnsi="Century Gothic" w:cs="Arial"/>
          <w:lang w:eastAsia="en-US"/>
        </w:rPr>
        <w:t xml:space="preserve">Lei Municipal nº 539/2018, </w:t>
      </w:r>
      <w:r w:rsidR="004F1522" w:rsidRPr="007F489F">
        <w:rPr>
          <w:rFonts w:ascii="Century Gothic" w:hAnsi="Century Gothic"/>
        </w:rPr>
        <w:t xml:space="preserve">tudo em conformidade com a Jurisprudência do Tribunal de Contas do Estado de Minas Gerais: </w:t>
      </w:r>
      <w:hyperlink r:id="rId10" w:anchor="Mesorregi%C3%A3o_da_Zona_da_Mata" w:history="1">
        <w:r w:rsidR="004F1522" w:rsidRPr="007F489F">
          <w:rPr>
            <w:rStyle w:val="Hyperlink"/>
            <w:rFonts w:ascii="Century Gothic" w:hAnsi="Century Gothic"/>
          </w:rPr>
          <w:t>https://pt.wikipedia.org/wiki/Lista_de_mesorregi%C3%B5es_e_microrregi%C3%B5es_de_Minas_Gerais#Mesorregi%C3%A3o_da_Zona_da_Mata</w:t>
        </w:r>
      </w:hyperlink>
    </w:p>
    <w:p w:rsidR="0030239D" w:rsidRPr="007F489F" w:rsidRDefault="0030239D" w:rsidP="0030239D">
      <w:pPr>
        <w:spacing w:before="100" w:beforeAutospacing="1" w:after="100" w:afterAutospacing="1"/>
        <w:jc w:val="both"/>
        <w:rPr>
          <w:rFonts w:ascii="Century Gothic" w:eastAsia="Calibri" w:hAnsi="Century Gothic" w:cs="Arial"/>
          <w:lang w:eastAsia="en-US"/>
        </w:rPr>
      </w:pPr>
      <w:r w:rsidRPr="007F489F">
        <w:rPr>
          <w:rFonts w:ascii="Century Gothic" w:eastAsia="Calibri" w:hAnsi="Century Gothic" w:cs="Arial"/>
          <w:lang w:eastAsia="en-US"/>
        </w:rPr>
        <w:t xml:space="preserve">6.2. Justifica-se, ainda, o incentivo às micro e pequenas empresas regionais de forma a proporcionar políticas públicas de sustentabilidade, empreendedorismo, geração de renda e </w:t>
      </w:r>
      <w:r w:rsidRPr="007F489F">
        <w:rPr>
          <w:rFonts w:ascii="Century Gothic" w:eastAsia="Calibri" w:hAnsi="Century Gothic" w:cs="Arial"/>
          <w:lang w:eastAsia="en-US"/>
        </w:rPr>
        <w:lastRenderedPageBreak/>
        <w:t>desenvolvimento econômico, voltados ao incentivo da atividade empresarial e melhora dos Índices de Desenvolvimento Econômico e Sociais.</w:t>
      </w:r>
    </w:p>
    <w:p w:rsidR="0030239D" w:rsidRPr="007F489F" w:rsidRDefault="0030239D" w:rsidP="0030239D">
      <w:pPr>
        <w:spacing w:before="100" w:beforeAutospacing="1" w:after="100" w:afterAutospacing="1"/>
        <w:jc w:val="both"/>
        <w:rPr>
          <w:rFonts w:ascii="Century Gothic" w:eastAsia="Calibri" w:hAnsi="Century Gothic" w:cs="Arial"/>
          <w:lang w:eastAsia="en-US"/>
        </w:rPr>
      </w:pPr>
      <w:r w:rsidRPr="007F489F">
        <w:rPr>
          <w:rFonts w:ascii="Century Gothic" w:eastAsia="Calibri" w:hAnsi="Century Gothic" w:cs="Arial"/>
          <w:lang w:eastAsia="en-US"/>
        </w:rPr>
        <w:t>6.3. Para este incentivo, a administração está levando em consideração o objeto do certame que pode ser fornecido por várias empresas sediadas dentro da limitação regional.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6.4.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6.5.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30239D" w:rsidRPr="007F489F" w:rsidRDefault="0030239D" w:rsidP="0030239D">
      <w:pPr>
        <w:tabs>
          <w:tab w:val="left" w:pos="2408"/>
        </w:tabs>
        <w:jc w:val="both"/>
        <w:rPr>
          <w:rFonts w:ascii="Century Gothic" w:hAnsi="Century Gothic"/>
        </w:rPr>
      </w:pPr>
      <w:r w:rsidRPr="007F489F">
        <w:rPr>
          <w:rFonts w:ascii="Century Gothic" w:hAnsi="Century Gothic"/>
        </w:rPr>
        <w:t>6.6.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6.7.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Eventual interposição de recurso contra a decisão que declara o vencedor do certame não suspenderá o prazo supracitado.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6.8.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6.9.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 Ocorrendo o empate, proceder-se-á da seguinte forma: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6.10.1 A microempresa ou empresa de pequeno porte melhor classificada poderá apresentar proposta de preço inferior àquela considerada vencedora do certame, situação em que será adjudicado em seu favor o objeto licitado;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6.10.2. Não ocorrendo a contratação da microempresa ou empresa de pequeno porte, na forma do subitem 6.3., serão convocadas as remanescentes que porventura se enquadrem </w:t>
      </w:r>
      <w:r w:rsidRPr="007F489F">
        <w:rPr>
          <w:rFonts w:ascii="Century Gothic" w:hAnsi="Century Gothic"/>
        </w:rPr>
        <w:lastRenderedPageBreak/>
        <w:t>na hipótese do subitem 11.2 e 11.4, na ordem classificatória, para o exercício do mesmo direito;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6.10.4. Na hipótese da não contratação nos termos previstos acima, o objeto licitado será adjudicado em favor da proposta originalmente vencedora do certame.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6.11.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7F489F" w:rsidRDefault="00D32A12"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7 – DA PROPOSTA DE PREÇOS</w:t>
      </w:r>
    </w:p>
    <w:p w:rsidR="0051150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7F489F">
        <w:rPr>
          <w:rFonts w:ascii="Century Gothic" w:hAnsi="Century Gothic"/>
        </w:rPr>
        <w:t xml:space="preserve"> </w:t>
      </w:r>
    </w:p>
    <w:p w:rsidR="00511508" w:rsidRPr="007F489F" w:rsidRDefault="00511508" w:rsidP="00141B6C">
      <w:pPr>
        <w:spacing w:before="100" w:beforeAutospacing="1" w:after="100" w:afterAutospacing="1"/>
        <w:jc w:val="both"/>
        <w:rPr>
          <w:rFonts w:ascii="Century Gothic" w:hAnsi="Century Gothic"/>
        </w:rPr>
      </w:pPr>
      <w:r w:rsidRPr="007F489F">
        <w:rPr>
          <w:rFonts w:ascii="Century Gothic" w:hAnsi="Century Gothic"/>
        </w:rPr>
        <w:t xml:space="preserve">7.1.1. Deverá conter o </w:t>
      </w:r>
      <w:r w:rsidRPr="007F489F">
        <w:rPr>
          <w:rFonts w:ascii="Century Gothic" w:hAnsi="Century Gothic"/>
          <w:bCs/>
        </w:rPr>
        <w:t>preço unitário e total</w:t>
      </w:r>
      <w:r w:rsidRPr="007F489F">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7.2. Deverá constar obrigatoriamente a razão social da licitante, nº do </w:t>
      </w:r>
      <w:r w:rsidR="00D32A12" w:rsidRPr="007F489F">
        <w:rPr>
          <w:rFonts w:ascii="Century Gothic" w:hAnsi="Century Gothic"/>
        </w:rPr>
        <w:t>CPF/</w:t>
      </w:r>
      <w:r w:rsidRPr="007F489F">
        <w:rPr>
          <w:rFonts w:ascii="Century Gothic" w:hAnsi="Century Gothic"/>
        </w:rPr>
        <w:t>CNPJ/MF, endereço completo, telefone, endereço eletrônico (e-mail), nº da conta corrente, agência e respectivo banco;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7.2.1. Prazo de eficácia da proposta, o qual não poderá ser inferior a 60 (sessenta) dias corridos, a contar da data de sua apresentação. Caso não conste, será considerado o prazo de 60 dias.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7F489F">
        <w:rPr>
          <w:rFonts w:ascii="Century Gothic" w:hAnsi="Century Gothic"/>
        </w:rPr>
        <w:t>inexequível</w:t>
      </w:r>
      <w:r w:rsidRPr="007F489F">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7.5. A apresentação das propostas implicará na plena aceitação, por parte do licitante, das condições estabelecidas neste Edital e seus Anexos;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7F489F" w:rsidRDefault="00511508" w:rsidP="00511508">
      <w:pPr>
        <w:spacing w:before="100" w:beforeAutospacing="1" w:after="100" w:afterAutospacing="1"/>
        <w:jc w:val="both"/>
        <w:rPr>
          <w:rFonts w:ascii="Century Gothic" w:hAnsi="Century Gothic"/>
          <w:bCs/>
        </w:rPr>
      </w:pPr>
      <w:r w:rsidRPr="007F489F">
        <w:rPr>
          <w:rFonts w:ascii="Century Gothic" w:hAnsi="Century Gothic"/>
        </w:rPr>
        <w:t xml:space="preserve">7.7. </w:t>
      </w:r>
      <w:r w:rsidRPr="007F489F">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7F489F" w:rsidRDefault="00511508" w:rsidP="00511508">
      <w:pPr>
        <w:spacing w:before="100" w:beforeAutospacing="1" w:after="100" w:afterAutospacing="1"/>
        <w:jc w:val="both"/>
        <w:rPr>
          <w:rFonts w:ascii="Century Gothic" w:hAnsi="Century Gothic"/>
          <w:bCs/>
        </w:rPr>
      </w:pPr>
      <w:r w:rsidRPr="007F489F">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7F489F">
        <w:rPr>
          <w:rFonts w:ascii="Century Gothic" w:hAnsi="Century Gothic"/>
          <w:bCs/>
          <w:i/>
          <w:iCs/>
        </w:rPr>
        <w:t xml:space="preserve">caput, </w:t>
      </w:r>
      <w:r w:rsidRPr="007F489F">
        <w:rPr>
          <w:rFonts w:ascii="Century Gothic" w:hAnsi="Century Gothic"/>
          <w:bCs/>
        </w:rPr>
        <w:t xml:space="preserve">c/c art. 38, inciso IV, ambos da Lei nº 8.666/93, com exceção dos extraídos pela </w:t>
      </w:r>
      <w:r w:rsidRPr="007F489F">
        <w:rPr>
          <w:rFonts w:ascii="Century Gothic" w:hAnsi="Century Gothic"/>
          <w:bCs/>
          <w:i/>
          <w:iCs/>
        </w:rPr>
        <w:t>internet</w:t>
      </w:r>
      <w:r w:rsidRPr="007F489F">
        <w:rPr>
          <w:rFonts w:ascii="Century Gothic" w:hAnsi="Century Gothic"/>
          <w:bCs/>
        </w:rPr>
        <w:t xml:space="preserve">, com vigência plena na data fixada para sua apresentação. </w:t>
      </w:r>
    </w:p>
    <w:p w:rsidR="00511508" w:rsidRPr="007F489F" w:rsidRDefault="00511508" w:rsidP="00511508">
      <w:pPr>
        <w:spacing w:before="100" w:beforeAutospacing="1" w:after="100" w:afterAutospacing="1"/>
        <w:jc w:val="both"/>
        <w:rPr>
          <w:rFonts w:ascii="Century Gothic" w:hAnsi="Century Gothic"/>
          <w:bCs/>
        </w:rPr>
      </w:pPr>
      <w:r w:rsidRPr="007F489F">
        <w:rPr>
          <w:rFonts w:ascii="Century Gothic" w:hAnsi="Century Gothic"/>
          <w:bCs/>
        </w:rPr>
        <w:t>7.9. Toda a documentação e as propostas serão rubricadas pelo(a) Pregoeiro(a) e os membros da Equipe de Apoio, e pelos representantes legais dos licitantes presentes à sessão.</w:t>
      </w:r>
    </w:p>
    <w:p w:rsidR="00511508" w:rsidRPr="007F489F" w:rsidRDefault="00511508" w:rsidP="00511508">
      <w:pPr>
        <w:tabs>
          <w:tab w:val="left" w:pos="2408"/>
          <w:tab w:val="left" w:pos="2835"/>
          <w:tab w:val="left" w:pos="3969"/>
        </w:tabs>
        <w:jc w:val="both"/>
        <w:rPr>
          <w:rFonts w:ascii="Century Gothic" w:hAnsi="Century Gothic"/>
        </w:rPr>
      </w:pPr>
      <w:r w:rsidRPr="007F489F">
        <w:rPr>
          <w:rFonts w:ascii="Century Gothic" w:hAnsi="Century Gothic"/>
          <w:bCs/>
        </w:rPr>
        <w:t xml:space="preserve">7.10. </w:t>
      </w:r>
      <w:r w:rsidRPr="007F489F">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7.11</w:t>
      </w:r>
      <w:r w:rsidR="00417AE8" w:rsidRPr="007F489F">
        <w:rPr>
          <w:rFonts w:ascii="Century Gothic" w:hAnsi="Century Gothic"/>
        </w:rPr>
        <w:t xml:space="preserve">. </w:t>
      </w:r>
      <w:r w:rsidR="00E62954" w:rsidRPr="007F489F">
        <w:rPr>
          <w:rFonts w:ascii="Century Gothic" w:hAnsi="Century Gothic"/>
        </w:rPr>
        <w:t>A</w:t>
      </w:r>
      <w:r w:rsidR="003D1D83" w:rsidRPr="007F489F">
        <w:rPr>
          <w:rFonts w:ascii="Century Gothic" w:hAnsi="Century Gothic"/>
        </w:rPr>
        <w:t>PREGOEIRA</w:t>
      </w:r>
      <w:r w:rsidR="00417AE8" w:rsidRPr="007F489F">
        <w:rPr>
          <w:rFonts w:ascii="Century Gothic" w:hAnsi="Century Gothic"/>
        </w:rPr>
        <w:t xml:space="preserve"> considerará como formais erros de somatórios e outros aspectos que beneficiem a Administração Pública e não implique nulidade do procedimento.</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 xml:space="preserve">7.12. </w:t>
      </w:r>
      <w:r w:rsidRPr="007F489F">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 xml:space="preserve">7.13. </w:t>
      </w:r>
      <w:r w:rsidRPr="007F489F">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7.14. Não será admitida proposta que apresente preços simbólicos, irrisórios ou de valor zero, conforme dispõe o art. 44, § 3º da Lei nº. 8.666/93.</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7.15. No caso de divergência entre a discriminação do preço expresso em algarismo e por extenso, prevalecerá, exclusivamente, aquele por extenso. Havendo divergência no preço unitário ou total, prevalecerá o primeiro.</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7.16. Os preços deverão ser fixos e irreajustáveis durante a vigência da proposta.</w:t>
      </w:r>
    </w:p>
    <w:p w:rsidR="00511508" w:rsidRPr="007F489F" w:rsidRDefault="00511508" w:rsidP="00511508">
      <w:pPr>
        <w:spacing w:before="100" w:beforeAutospacing="1" w:after="100" w:afterAutospacing="1"/>
        <w:jc w:val="both"/>
        <w:rPr>
          <w:rFonts w:ascii="Century Gothic" w:hAnsi="Century Gothic"/>
          <w:lang w:bidi="pt-BR"/>
        </w:rPr>
      </w:pPr>
      <w:r w:rsidRPr="007F489F">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7F489F" w:rsidRDefault="00621D75" w:rsidP="00511508">
      <w:pPr>
        <w:spacing w:before="100" w:beforeAutospacing="1" w:after="100" w:afterAutospacing="1"/>
        <w:jc w:val="both"/>
        <w:rPr>
          <w:rFonts w:ascii="Century Gothic" w:hAnsi="Century Gothic"/>
          <w:b/>
        </w:rPr>
      </w:pPr>
      <w:r w:rsidRPr="007F489F">
        <w:rPr>
          <w:rFonts w:ascii="Century Gothic" w:hAnsi="Century Gothic"/>
          <w:b/>
          <w:lang w:bidi="pt-BR"/>
        </w:rPr>
        <w:t xml:space="preserve">7.18. </w:t>
      </w:r>
      <w:r w:rsidRPr="007F489F">
        <w:rPr>
          <w:rFonts w:ascii="Century Gothic" w:hAnsi="Century Gothic"/>
          <w:b/>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7.19. Serão, ainda, consideradas desclassificadas as propostas que:</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a) Ofertarem preços excessivos ou manifestamente inexequíveis;</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lastRenderedPageBreak/>
        <w:t>b) Sejam omissas, vagas ou apresentarem irregularidades e defeitos capazes de dificultar o julgamento;</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c) Não atenderem às características constantes do objeto deste Pregão Presencial e anexos;</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d) Contiverem preços condicionados aos prazos ou vantagens baseadas em ofertas de outros licitantes.</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e) O licitante que não atender às exigências editalícias terá a proposta desclassificada, mesmo que o fato somente venha a ser conhecido depois do julgamento.</w:t>
      </w:r>
    </w:p>
    <w:p w:rsidR="00511508" w:rsidRPr="007F489F" w:rsidRDefault="00511508" w:rsidP="00511508">
      <w:pPr>
        <w:spacing w:before="100" w:beforeAutospacing="1" w:after="100" w:afterAutospacing="1"/>
        <w:jc w:val="both"/>
        <w:rPr>
          <w:rFonts w:ascii="Century Gothic" w:hAnsi="Century Gothic"/>
          <w:b/>
        </w:rPr>
      </w:pPr>
      <w:r w:rsidRPr="007F489F">
        <w:rPr>
          <w:rFonts w:ascii="Century Gothic" w:hAnsi="Century Gothic"/>
          <w:b/>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7F489F" w:rsidRDefault="00511508" w:rsidP="00511508">
      <w:pPr>
        <w:tabs>
          <w:tab w:val="left" w:pos="720"/>
        </w:tabs>
        <w:jc w:val="both"/>
        <w:rPr>
          <w:rFonts w:ascii="Century Gothic" w:hAnsi="Century Gothic"/>
          <w:b/>
          <w:bCs/>
        </w:rPr>
      </w:pPr>
      <w:r w:rsidRPr="007F489F">
        <w:rPr>
          <w:rFonts w:ascii="Century Gothic" w:hAnsi="Century Gothic"/>
          <w:b/>
          <w:bCs/>
        </w:rPr>
        <w:t>9.15 – É OBRIGATÓRIO CONSTAR NA PROPOSTA COMERCIAL A MARCA/FABRICANTE DO PRODUTO.</w:t>
      </w:r>
    </w:p>
    <w:p w:rsidR="002B0B9F" w:rsidRPr="007F489F" w:rsidRDefault="002B0B9F"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8 – DO JULGAMENTO DAS PROPOSTAS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 Após apresentação da proposta, não caberá desistência, salvo por motivo justo decorrente de fato superveniente e aceito pel</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8.2. Abertos os envelopes, as propostas serão rubricadas pel</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 equipe de apoio;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8.3. No julgamento e classificação das propostas, será adotado o critério de </w:t>
      </w:r>
      <w:r w:rsidR="0094166E" w:rsidRPr="007F489F">
        <w:rPr>
          <w:rFonts w:ascii="Century Gothic" w:hAnsi="Century Gothic"/>
        </w:rPr>
        <w:t>MENOR PREÇO ITEM</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8.4. Mediante a inserção e monitoramento dos dados gerados</w:t>
      </w:r>
      <w:r w:rsidR="00C174CC" w:rsidRPr="007F489F">
        <w:rPr>
          <w:rFonts w:ascii="Century Gothic" w:hAnsi="Century Gothic"/>
        </w:rPr>
        <w:t xml:space="preserve"> no sistema da Prefeitura Municipal</w:t>
      </w:r>
      <w:r w:rsidRPr="007F489F">
        <w:rPr>
          <w:rFonts w:ascii="Century Gothic" w:hAnsi="Century Gothic"/>
        </w:rPr>
        <w:t xml:space="preserve">, </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relacionará todas as propostas em ordem crescente.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8.5. O autor da oferta de valor mais baixo e os das ofertas com preços até 10% (dez por cento) </w:t>
      </w:r>
      <w:r w:rsidR="00AF512C" w:rsidRPr="007F489F">
        <w:rPr>
          <w:rFonts w:ascii="Century Gothic" w:hAnsi="Century Gothic"/>
        </w:rPr>
        <w:t>superior</w:t>
      </w:r>
      <w:r w:rsidRPr="007F489F">
        <w:rPr>
          <w:rFonts w:ascii="Century Gothic" w:hAnsi="Century Gothic"/>
        </w:rPr>
        <w:t xml:space="preserve"> àquela poderão fazer novos lances verbais e sucessivos, até a proclamação do vencedor;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8.6. Não havendo pelo menos 03 (três) ofertas nas condições definidas no item anterior, </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classificará as 03 (três) melhores propostas, para que seus autores participem dos lances verbais, quaisquer que sejam seus preços ofertados na proposta escrita;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8.7. </w:t>
      </w:r>
      <w:r w:rsidR="00E62954" w:rsidRPr="007F489F">
        <w:rPr>
          <w:rFonts w:ascii="Century Gothic" w:hAnsi="Century Gothic"/>
        </w:rPr>
        <w:t>A</w:t>
      </w:r>
      <w:r w:rsidR="003D1D83" w:rsidRPr="007F489F">
        <w:rPr>
          <w:rFonts w:ascii="Century Gothic" w:hAnsi="Century Gothic"/>
        </w:rPr>
        <w:t>PREGOEIRA</w:t>
      </w:r>
      <w:r w:rsidRPr="007F489F">
        <w:rPr>
          <w:rFonts w:ascii="Century Gothic" w:hAnsi="Century Gothic"/>
        </w:rPr>
        <w:t xml:space="preserve"> convidará individualmente os licitantes classificados, de forma </w:t>
      </w:r>
      <w:r w:rsidR="00C174CC" w:rsidRPr="007F489F">
        <w:rPr>
          <w:rFonts w:ascii="Century Gothic" w:hAnsi="Century Gothic"/>
        </w:rPr>
        <w:t>sequencial</w:t>
      </w:r>
      <w:r w:rsidRPr="007F489F">
        <w:rPr>
          <w:rFonts w:ascii="Century Gothic" w:hAnsi="Century Gothic"/>
        </w:rPr>
        <w:t>, a apresentar lances verbais, a partir do autor da proposta classificada de maior preço e os demais, em ordem decrescente de valor;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8.8. A desistência em apresentar lance verbal, quando convocado pel</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implicará a exclusão do licitante da etapa de lances verbais e na manutenção do último preço apresentado pelo licitante, para efeito de ordenação das propostas;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8.9. Não poderá haver desistência dos lances ofertados, sujeitando-se o proponente desistente às penalidades constantes </w:t>
      </w:r>
      <w:r w:rsidR="00A25981" w:rsidRPr="007F489F">
        <w:rPr>
          <w:rFonts w:ascii="Century Gothic" w:hAnsi="Century Gothic"/>
        </w:rPr>
        <w:t>n</w:t>
      </w:r>
      <w:r w:rsidRPr="007F489F">
        <w:rPr>
          <w:rFonts w:ascii="Century Gothic" w:hAnsi="Century Gothic"/>
        </w:rPr>
        <w:t>este Edital;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8.10. Caso não se realizem lances verbais, será verificada a conformidade entre a proposta escrita de menor preço e o valor estimado para o devido;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 xml:space="preserve">8.11. Declarada encerrada a etapa competitiva e ordenadas das propostas, </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examinará a aceitabilidade da primeira classificada, quanto ao objeto e valor, decidindo motivadamente a respeito;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8.13. Constatado o atendimento das exigências fixadas no edital, o licitante será declarado vencedor, sendo-lhe adjudicado o objeto do certame;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8.14. Se a oferta não for aceitável ou se o licitante desatender às exigências habilitatórias, </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examinará a oferta </w:t>
      </w:r>
      <w:r w:rsidR="00C174CC" w:rsidRPr="007F489F">
        <w:rPr>
          <w:rFonts w:ascii="Century Gothic" w:hAnsi="Century Gothic"/>
        </w:rPr>
        <w:t>subsequente</w:t>
      </w:r>
      <w:r w:rsidRPr="007F489F">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8.15. Nas situações previstas nos subitens 8.10, 8.11 e 8.14, </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poderá negociar diretamente com o proponente para que seja obtido preço melhor;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7F489F">
        <w:rPr>
          <w:rFonts w:ascii="Century Gothic" w:hAnsi="Century Gothic"/>
        </w:rPr>
        <w:t>homologação, devendo</w:t>
      </w:r>
      <w:r w:rsidRPr="007F489F">
        <w:rPr>
          <w:rFonts w:ascii="Century Gothic" w:hAnsi="Century Gothic"/>
        </w:rPr>
        <w:t xml:space="preserve"> a mesma, ao final, ser assinada pel</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 os licitantes presentes, ressaltando-se que poderá constar a assinatura da equipe de apoio, sendo-lhes facultado esse direito.</w:t>
      </w:r>
    </w:p>
    <w:p w:rsidR="00BF6E02" w:rsidRPr="007F489F" w:rsidRDefault="00BF6E02"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9 – DA DOCUMENTAÇÃO PARA FINS DE HABILITAÇÃO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9.1.</w:t>
      </w:r>
      <w:r w:rsidRPr="007F489F">
        <w:rPr>
          <w:rFonts w:ascii="Century Gothic" w:hAnsi="Century Gothic"/>
        </w:rPr>
        <w:tab/>
        <w:t>Para fins de habilitação ao certame, os interessados terão de satisfazer os requisitos relativos</w:t>
      </w:r>
      <w:r w:rsidR="00AF512C" w:rsidRPr="007F489F">
        <w:rPr>
          <w:rFonts w:ascii="Century Gothic" w:hAnsi="Century Gothic"/>
        </w:rPr>
        <w:t xml:space="preserve"> (Anexo – Documentos Exigidos para habilitação)</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Qualificação</w:t>
      </w:r>
      <w:r w:rsidRPr="007F489F">
        <w:rPr>
          <w:rFonts w:ascii="Century Gothic" w:hAnsi="Century Gothic"/>
        </w:rPr>
        <w:t xml:space="preserve"> técnica;</w:t>
      </w:r>
      <w:r w:rsidRPr="007F489F">
        <w:rPr>
          <w:rFonts w:ascii="Century Gothic" w:hAnsi="Century Gothic"/>
        </w:rPr>
        <w:tab/>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H</w:t>
      </w:r>
      <w:r w:rsidRPr="007F489F">
        <w:rPr>
          <w:rFonts w:ascii="Century Gothic" w:hAnsi="Century Gothic"/>
        </w:rPr>
        <w:t>abilitação jurídica;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R</w:t>
      </w:r>
      <w:r w:rsidRPr="007F489F">
        <w:rPr>
          <w:rFonts w:ascii="Century Gothic" w:hAnsi="Century Gothic"/>
        </w:rPr>
        <w:t>egularidade fiscal e trabalhista;</w:t>
      </w:r>
    </w:p>
    <w:p w:rsidR="00BF6E02"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Qualificação</w:t>
      </w:r>
      <w:r w:rsidRPr="007F489F">
        <w:rPr>
          <w:rFonts w:ascii="Century Gothic" w:hAnsi="Century Gothic"/>
        </w:rPr>
        <w:t xml:space="preserve"> econômico-financeira:</w:t>
      </w:r>
    </w:p>
    <w:p w:rsidR="00BF6E02"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9.3. Os documentos usados no credenciamento poderão ser usados para fins de habilitação, não sendo necessária sua duplicação.</w:t>
      </w:r>
    </w:p>
    <w:p w:rsidR="00893BAF" w:rsidRPr="007F489F" w:rsidRDefault="00BF6E02"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10 – DA IMPUGNAÇÃO DO ATO CONVOCATÓRIO</w:t>
      </w:r>
    </w:p>
    <w:p w:rsidR="00893BAF"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7F489F">
        <w:rPr>
          <w:rFonts w:ascii="Century Gothic" w:hAnsi="Century Gothic"/>
        </w:rPr>
        <w:t>SANTO ANTÔNIO DO GRAMA</w:t>
      </w:r>
      <w:r w:rsidRPr="007F489F">
        <w:rPr>
          <w:rFonts w:ascii="Century Gothic" w:hAnsi="Century Gothic"/>
        </w:rPr>
        <w:t xml:space="preserve">, localizada na </w:t>
      </w:r>
      <w:r w:rsidR="00403C6F" w:rsidRPr="007F489F">
        <w:rPr>
          <w:rFonts w:ascii="Century Gothic" w:hAnsi="Century Gothic"/>
        </w:rPr>
        <w:t xml:space="preserve">Rua </w:t>
      </w:r>
      <w:r w:rsidR="0094166E" w:rsidRPr="007F489F">
        <w:rPr>
          <w:rFonts w:ascii="Century Gothic" w:hAnsi="Century Gothic"/>
        </w:rPr>
        <w:t>Padre João Coutinho</w:t>
      </w:r>
      <w:r w:rsidRPr="007F489F">
        <w:rPr>
          <w:rFonts w:ascii="Century Gothic" w:hAnsi="Century Gothic"/>
        </w:rPr>
        <w:t xml:space="preserve">, </w:t>
      </w:r>
      <w:r w:rsidR="009749B1" w:rsidRPr="007F489F">
        <w:rPr>
          <w:rFonts w:ascii="Century Gothic" w:hAnsi="Century Gothic"/>
        </w:rPr>
        <w:t xml:space="preserve">nº </w:t>
      </w:r>
      <w:r w:rsidR="0094166E" w:rsidRPr="007F489F">
        <w:rPr>
          <w:rFonts w:ascii="Century Gothic" w:hAnsi="Century Gothic"/>
        </w:rPr>
        <w:t>121</w:t>
      </w:r>
      <w:r w:rsidRPr="007F489F">
        <w:rPr>
          <w:rFonts w:ascii="Century Gothic" w:hAnsi="Century Gothic"/>
        </w:rPr>
        <w:t xml:space="preserve">, Bairro </w:t>
      </w:r>
      <w:r w:rsidR="00B200B2" w:rsidRPr="007F489F">
        <w:rPr>
          <w:rFonts w:ascii="Century Gothic" w:hAnsi="Century Gothic"/>
        </w:rPr>
        <w:t>Centro</w:t>
      </w:r>
      <w:r w:rsidRPr="007F489F">
        <w:rPr>
          <w:rFonts w:ascii="Century Gothic" w:hAnsi="Century Gothic"/>
        </w:rPr>
        <w:t xml:space="preserve">, </w:t>
      </w:r>
      <w:r w:rsidR="001E4BDB" w:rsidRPr="007F489F">
        <w:rPr>
          <w:rFonts w:ascii="Century Gothic" w:hAnsi="Century Gothic"/>
        </w:rPr>
        <w:t xml:space="preserve">CEP </w:t>
      </w:r>
      <w:r w:rsidR="009749B1" w:rsidRPr="007F489F">
        <w:rPr>
          <w:rFonts w:ascii="Century Gothic" w:hAnsi="Century Gothic"/>
        </w:rPr>
        <w:t>36.923-000</w:t>
      </w:r>
      <w:r w:rsidRPr="007F489F">
        <w:rPr>
          <w:rFonts w:ascii="Century Gothic" w:hAnsi="Century Gothic"/>
        </w:rPr>
        <w:t xml:space="preserve">, </w:t>
      </w:r>
      <w:r w:rsidR="0094166E" w:rsidRPr="007F489F">
        <w:rPr>
          <w:rFonts w:ascii="Century Gothic" w:hAnsi="Century Gothic"/>
        </w:rPr>
        <w:t>Santo Antônio do Grama</w:t>
      </w:r>
      <w:r w:rsidR="001E4BDB" w:rsidRPr="007F489F">
        <w:rPr>
          <w:rFonts w:ascii="Century Gothic" w:hAnsi="Century Gothic"/>
        </w:rPr>
        <w:t>, bem como podendo ser encaminhada através do endereço eletrônico</w:t>
      </w:r>
      <w:hyperlink r:id="rId11" w:history="1">
        <w:r w:rsidR="0094166E" w:rsidRPr="007F489F">
          <w:rPr>
            <w:rStyle w:val="Hyperlink"/>
            <w:rFonts w:ascii="Century Gothic" w:hAnsi="Century Gothic"/>
            <w:color w:val="auto"/>
          </w:rPr>
          <w:t>compraselicitacao@gmail.com</w:t>
        </w:r>
      </w:hyperlink>
      <w:r w:rsidRPr="007F489F">
        <w:rPr>
          <w:rFonts w:ascii="Century Gothic" w:hAnsi="Century Gothic"/>
        </w:rPr>
        <w:t>.</w:t>
      </w:r>
    </w:p>
    <w:p w:rsidR="001E4BDB" w:rsidRPr="007F489F" w:rsidRDefault="001E4BDB" w:rsidP="00141B6C">
      <w:pPr>
        <w:spacing w:before="100" w:beforeAutospacing="1" w:after="100" w:afterAutospacing="1"/>
        <w:jc w:val="both"/>
        <w:rPr>
          <w:rFonts w:ascii="Century Gothic" w:hAnsi="Century Gothic"/>
        </w:rPr>
      </w:pPr>
      <w:r w:rsidRPr="007F489F">
        <w:rPr>
          <w:rFonts w:ascii="Century Gothic" w:hAnsi="Century Gothic"/>
        </w:rPr>
        <w:lastRenderedPageBreak/>
        <w:t>10.1.1. Admite-se todo e qualquer meio legal de encaminhamento e protocolo de recurso oriundo do presente processo de licitação de todas as fases, o qual sempre será preservado o direito de todos os pretendentes ou interessados.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10.2. Acolhida a petição contra o ato convocatório, será designada nova data para a realização do certame, desde que o acolhimento possa interferir na elaboração das propostas.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7F489F" w:rsidRDefault="00893BAF"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11 – DOS RECURSOS</w:t>
      </w:r>
    </w:p>
    <w:p w:rsidR="00893BAF"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7F489F">
        <w:rPr>
          <w:rFonts w:ascii="Century Gothic" w:hAnsi="Century Gothic"/>
        </w:rPr>
        <w:t>contrarrazões</w:t>
      </w:r>
      <w:r w:rsidRPr="007F489F">
        <w:rPr>
          <w:rFonts w:ascii="Century Gothic" w:hAnsi="Century Gothic"/>
        </w:rPr>
        <w:t xml:space="preserve"> em igual número de dias, que começarão a correr do término do prazo do recorrente, sendo-lhes assegurada vista imediata dos autos.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11.2. A falta de manifestação imediata e motivada do licitante importará a decadência do direito de recurso e a adjudicação do objeto da licitação pel</w:t>
      </w:r>
      <w:r w:rsidR="009749B1" w:rsidRPr="007F489F">
        <w:rPr>
          <w:rFonts w:ascii="Century Gothic" w:hAnsi="Century Gothic"/>
        </w:rPr>
        <w:t>a</w:t>
      </w:r>
      <w:r w:rsidR="00863DE7"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ao vencedor.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11.3. O recurso contra decisão d</w:t>
      </w:r>
      <w:r w:rsidR="009749B1"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não terá efeito suspensivo.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11.4. O acolhimento de recurso importará a invalidação apenas dos atos insuscetíveis de aproveitamento.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11.5. Decididos os recursos, a autoridade competente fará a adjudicação do objeto da licitação ao licitante vencedor.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11.6. Os autos do procedimento permanecerão com vista franqueada aos interessados, na sede da Prefeitura Municipal de </w:t>
      </w:r>
      <w:r w:rsidR="0094166E" w:rsidRPr="007F489F">
        <w:rPr>
          <w:rFonts w:ascii="Century Gothic" w:hAnsi="Century Gothic"/>
        </w:rPr>
        <w:t>Santo Antônio do Grama</w:t>
      </w:r>
      <w:r w:rsidR="002E1BA9" w:rsidRPr="007F489F">
        <w:rPr>
          <w:rFonts w:ascii="Century Gothic" w:hAnsi="Century Gothic"/>
        </w:rPr>
        <w:t>, Estado de Minas Gerais</w:t>
      </w:r>
      <w:r w:rsidRPr="007F489F">
        <w:rPr>
          <w:rFonts w:ascii="Century Gothic" w:hAnsi="Century Gothic"/>
        </w:rPr>
        <w:t>.</w:t>
      </w:r>
    </w:p>
    <w:p w:rsidR="003474E5" w:rsidRPr="007F489F" w:rsidRDefault="00893BAF"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12 – DO CONTRATO</w:t>
      </w:r>
      <w:r w:rsidR="000F04D8" w:rsidRPr="007F489F">
        <w:rPr>
          <w:rFonts w:ascii="Century Gothic" w:hAnsi="Century Gothic"/>
          <w:b/>
          <w:u w:val="single"/>
        </w:rPr>
        <w:t>/ DA ATA DE REGISTRO DE PREÇOS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12.1. Sem prejuízo do disposto no Capítulo III a IV da Lei n.º 8.666/93, o contrato referente ao fornecimento</w:t>
      </w:r>
      <w:r w:rsidR="00AF7035" w:rsidRPr="007F489F">
        <w:rPr>
          <w:rFonts w:ascii="Century Gothic" w:hAnsi="Century Gothic"/>
        </w:rPr>
        <w:t xml:space="preserve"> dos serviços</w:t>
      </w:r>
      <w:r w:rsidRPr="007F489F">
        <w:rPr>
          <w:rFonts w:ascii="Century Gothic" w:hAnsi="Century Gothic"/>
        </w:rPr>
        <w:t xml:space="preserve"> do objeto será formalizado e conterá, necessariamente, as condições já especificadas neste ato convocatório, conforme anexo II.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12.2. É facultado a </w:t>
      </w:r>
      <w:r w:rsidR="003D1D83" w:rsidRPr="007F489F">
        <w:rPr>
          <w:rFonts w:ascii="Century Gothic" w:hAnsi="Century Gothic"/>
        </w:rPr>
        <w:t>PREGOEIRA</w:t>
      </w:r>
      <w:r w:rsidRPr="007F489F">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12.3. A recusa injustificada da licitante vencedora em assinar o contrato que poderá ser firmado, aceitar ou retirar o instrumento equivalente, dentro do prazo estabelecido pela </w:t>
      </w:r>
      <w:r w:rsidRPr="007F489F">
        <w:rPr>
          <w:rFonts w:ascii="Century Gothic" w:hAnsi="Century Gothic"/>
        </w:rPr>
        <w:lastRenderedPageBreak/>
        <w:t>Secret</w:t>
      </w:r>
      <w:r w:rsidR="0003333C" w:rsidRPr="007F489F">
        <w:rPr>
          <w:rFonts w:ascii="Century Gothic" w:hAnsi="Century Gothic"/>
        </w:rPr>
        <w:t>aria Municipal de Educação</w:t>
      </w:r>
      <w:r w:rsidRPr="007F489F">
        <w:rPr>
          <w:rFonts w:ascii="Century Gothic" w:hAnsi="Century Gothic"/>
        </w:rPr>
        <w:t xml:space="preserve"> caracteriza o descumprimento total da obrigação assumida, sujeitando-a às penalidades legalmente estabelecidas. </w:t>
      </w:r>
    </w:p>
    <w:p w:rsidR="000F04D8" w:rsidRPr="007F489F" w:rsidRDefault="00417AE8" w:rsidP="000F04D8">
      <w:pPr>
        <w:spacing w:before="100" w:beforeAutospacing="1" w:after="100" w:afterAutospacing="1"/>
        <w:jc w:val="both"/>
        <w:rPr>
          <w:rFonts w:ascii="Century Gothic" w:hAnsi="Century Gothic"/>
        </w:rPr>
      </w:pPr>
      <w:r w:rsidRPr="007F489F">
        <w:rPr>
          <w:rFonts w:ascii="Century Gothic" w:hAnsi="Century Gothic"/>
        </w:rPr>
        <w:t xml:space="preserve">12.4. A Secretaria Municipal de </w:t>
      </w:r>
      <w:r w:rsidR="0003333C" w:rsidRPr="007F489F">
        <w:rPr>
          <w:rFonts w:ascii="Century Gothic" w:hAnsi="Century Gothic"/>
        </w:rPr>
        <w:t xml:space="preserve">Educação </w:t>
      </w:r>
      <w:r w:rsidRPr="007F489F">
        <w:rPr>
          <w:rFonts w:ascii="Century Gothic" w:hAnsi="Century Gothic"/>
        </w:rPr>
        <w:t>será o órgão responsável pelos atos de controle e fiscalização dos atos decorrentes desta licitação.</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12.5. Homologado o resultado desta licitação e respeitada a ordem de classificação a Prefeitura convocará a adjudicatária para que assine a Ata de Registro de Preços.</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12.7. Será de 12 (doze) meses o prazo de validade da Ata de Registro de Preços, contados da data da sua publicação.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12.9. A Detentora dos Preços Registrados terá seu registro cancelado quando:</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a) descumprir as condições da Ata de Registro de Preços;</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b) não retirar ou não aceitar a Nota de Empenho ou instrumento equivalente, no prazo estabelecido, sem justificativa aceitável;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c) não aceitar reduzir os preços registrados, quando este se tornar superior ao praticado no mercado; e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d) sofrer sanção prevista nos incisos III ou IV do caput do art. 87 da Lei Federal 8.666/93 ou no art. 7º da Lei nº 10.520, de 2002.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12.11. A Empresa deverá manter as condições iniciais de habilitação durante toda a vigência da Ata, sob pena de rescisão. </w:t>
      </w:r>
    </w:p>
    <w:p w:rsidR="000F04D8" w:rsidRPr="007F489F" w:rsidRDefault="000F04D8" w:rsidP="00141B6C">
      <w:pPr>
        <w:spacing w:before="100" w:beforeAutospacing="1" w:after="100" w:afterAutospacing="1"/>
        <w:jc w:val="both"/>
        <w:rPr>
          <w:rFonts w:ascii="Century Gothic" w:hAnsi="Century Gothic"/>
        </w:rPr>
      </w:pPr>
      <w:r w:rsidRPr="007F489F">
        <w:rPr>
          <w:rFonts w:ascii="Century Gothic" w:hAnsi="Century Gothic"/>
        </w:rPr>
        <w:t>12.12. O gerenciamento da Ata de Registro de Preços será realizado pela Secretária de Administração ou outro servidor por ela designado.</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13 – DAS SANÇÕES ADMINISTRATIVAS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13.1. O descumprimento injustificado das obrigações assumidas nos termos deste edital sujeitará o FORNECEDOR a multas, consoante o caput e §§ do art. 86 da Lei no 8.666/93, incidentes sobre o valor da Nota de Empenho, na forma seguinte: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a) atraso até 05 (cinco) dias, multa de 02 % (dois por cento);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13.2. Sem prejuízo das sanções cominadas no art. 87, I, III e IV, da Lei 8.666/93, pela inexecução total ou parcial do objeto adjudicado, </w:t>
      </w:r>
      <w:r w:rsidR="003474E5" w:rsidRPr="007F489F">
        <w:rPr>
          <w:rFonts w:ascii="Century Gothic" w:hAnsi="Century Gothic"/>
        </w:rPr>
        <w:t xml:space="preserve">o Município de </w:t>
      </w:r>
      <w:r w:rsidR="0094166E" w:rsidRPr="007F489F">
        <w:rPr>
          <w:rFonts w:ascii="Century Gothic" w:hAnsi="Century Gothic"/>
        </w:rPr>
        <w:t>SANTO ANTÔNIO DO GRAMA</w:t>
      </w:r>
      <w:r w:rsidR="003474E5" w:rsidRPr="007F489F">
        <w:rPr>
          <w:rFonts w:ascii="Century Gothic" w:hAnsi="Century Gothic"/>
        </w:rPr>
        <w:t>, Estado de Minas Gerais,</w:t>
      </w:r>
      <w:r w:rsidRPr="007F489F">
        <w:rPr>
          <w:rFonts w:ascii="Century Gothic" w:hAnsi="Century Gothic"/>
        </w:rPr>
        <w:t xml:space="preserve"> poderá, garantida prévia e ampla defesa, aplicar ao FORNECEDOR multa de até 10% (dez por cento) sobre o valor adjudicado.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13.3.1. Multa de até 10% (dez por cento) sobre o valor adjudicado;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13.3.2. Suspensão temporária de participar de licitações e impedimento de contratar com a Prefeitura Municipal de </w:t>
      </w:r>
      <w:r w:rsidR="0094166E" w:rsidRPr="007F489F">
        <w:rPr>
          <w:rFonts w:ascii="Century Gothic" w:hAnsi="Century Gothic"/>
        </w:rPr>
        <w:t>Santo Antônio do Grama</w:t>
      </w:r>
      <w:r w:rsidRPr="007F489F">
        <w:rPr>
          <w:rFonts w:ascii="Century Gothic" w:hAnsi="Century Gothic"/>
        </w:rPr>
        <w:t>, por prazo de até 02 (dois) anos, 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13.3.3. Declaração de Inidoneidade para licitar ou contratar com a Administração Pública Municipal.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7F489F">
        <w:rPr>
          <w:rFonts w:ascii="Century Gothic" w:hAnsi="Century Gothic"/>
        </w:rPr>
        <w:t>Santo Antônio do Grama</w:t>
      </w:r>
      <w:r w:rsidRPr="007F489F">
        <w:rPr>
          <w:rFonts w:ascii="Century Gothic" w:hAnsi="Century Gothic"/>
        </w:rPr>
        <w:t xml:space="preserve"> solicitará o seu descredenciamento do Cadastro de Fornecedores do Município por igual período, sem prejuízo da ação penal correspondente, na forma da lei.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7F489F">
        <w:rPr>
          <w:rFonts w:ascii="Century Gothic" w:hAnsi="Century Gothic"/>
        </w:rPr>
        <w:t>Santo Antônio do Grama</w:t>
      </w:r>
      <w:r w:rsidRPr="007F489F">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7F489F">
        <w:rPr>
          <w:rFonts w:ascii="Century Gothic" w:hAnsi="Century Gothic"/>
        </w:rPr>
        <w:t>Santo Antônio do Grama</w:t>
      </w:r>
      <w:r w:rsidRPr="007F489F">
        <w:rPr>
          <w:rFonts w:ascii="Century Gothic" w:hAnsi="Century Gothic"/>
        </w:rPr>
        <w:t>.</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14 – DA DOTAÇÃO ORÇAMENTÁRIA</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 xml:space="preserve">14.1. As despesas relativas às aquisições decorrentes desta licitação serão suportadas pela seguinte dotação:  </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lastRenderedPageBreak/>
        <w:t>a) A dotação orçamentária para a contratação feita por este Registro de Preços será efetuada à medida que forem solicitadas ao Gestor do Registro de Preços, conforme dispõe o art. 7º, §2º do Decreto Federal 7.892/2013;</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b) Servirão de cobertura às contratações oriundas da Ata de Registro de Pr</w:t>
      </w:r>
      <w:r w:rsidR="00514470" w:rsidRPr="007F489F">
        <w:rPr>
          <w:rFonts w:ascii="Century Gothic" w:hAnsi="Century Gothic"/>
        </w:rPr>
        <w:t xml:space="preserve">eços para os exercícios de </w:t>
      </w:r>
      <w:r w:rsidRPr="007F489F">
        <w:rPr>
          <w:rFonts w:ascii="Century Gothic" w:hAnsi="Century Gothic"/>
        </w:rPr>
        <w:t>2023, os recursos orçamentários da unidade orçamentária requisitante. Havendo necessidade, por determinação da Administração, poderão ser utilizados recursos orçamentários de qualquer Secretaria Municipal;</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7F489F">
        <w:rPr>
          <w:rFonts w:ascii="Century Gothic" w:hAnsi="Century Gothic"/>
        </w:rPr>
        <w:t>SANTO</w:t>
      </w:r>
      <w:r w:rsidR="00113ACA" w:rsidRPr="007F489F">
        <w:rPr>
          <w:rFonts w:ascii="Century Gothic" w:hAnsi="Century Gothic"/>
        </w:rPr>
        <w:t xml:space="preserve"> ANTÔNIO DO GRAMA</w:t>
      </w:r>
      <w:r w:rsidRPr="007F489F">
        <w:rPr>
          <w:rFonts w:ascii="Century Gothic" w:hAnsi="Century Gothic"/>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15</w:t>
      </w:r>
      <w:r w:rsidR="003C6E31" w:rsidRPr="007F489F">
        <w:rPr>
          <w:rFonts w:ascii="Century Gothic" w:hAnsi="Century Gothic"/>
          <w:b/>
          <w:u w:val="single"/>
        </w:rPr>
        <w:t>.</w:t>
      </w:r>
      <w:r w:rsidRPr="007F489F">
        <w:rPr>
          <w:rFonts w:ascii="Century Gothic" w:hAnsi="Century Gothic"/>
          <w:b/>
          <w:u w:val="single"/>
        </w:rPr>
        <w:t xml:space="preserve"> DO PAGAMENTO</w:t>
      </w:r>
      <w:r w:rsidR="007905C4" w:rsidRPr="007F489F">
        <w:rPr>
          <w:rFonts w:ascii="Century Gothic" w:hAnsi="Century Gothic"/>
          <w:b/>
          <w:u w:val="single"/>
        </w:rPr>
        <w:t>/REAJUSTE DO PREÇO</w:t>
      </w:r>
    </w:p>
    <w:p w:rsidR="007905C4" w:rsidRPr="007F489F" w:rsidRDefault="00417AE8" w:rsidP="007905C4">
      <w:pPr>
        <w:spacing w:before="100" w:beforeAutospacing="1" w:after="100" w:afterAutospacing="1"/>
        <w:jc w:val="both"/>
        <w:rPr>
          <w:rFonts w:ascii="Century Gothic" w:hAnsi="Century Gothic"/>
        </w:rPr>
      </w:pPr>
      <w:r w:rsidRPr="007F489F">
        <w:rPr>
          <w:rFonts w:ascii="Century Gothic" w:hAnsi="Century Gothic"/>
        </w:rPr>
        <w:t>15.1</w:t>
      </w:r>
      <w:r w:rsidR="003C6E31" w:rsidRPr="007F489F">
        <w:rPr>
          <w:rFonts w:ascii="Century Gothic" w:hAnsi="Century Gothic"/>
        </w:rPr>
        <w:t>.</w:t>
      </w:r>
      <w:r w:rsidRPr="007F489F">
        <w:rPr>
          <w:rFonts w:ascii="Century Gothic" w:hAnsi="Century Gothic"/>
        </w:rPr>
        <w:t xml:space="preserve"> Os pagamentos serão efetuados </w:t>
      </w:r>
      <w:r w:rsidR="00AF7035" w:rsidRPr="007F489F">
        <w:rPr>
          <w:rFonts w:ascii="Century Gothic" w:hAnsi="Century Gothic"/>
        </w:rPr>
        <w:t>após</w:t>
      </w:r>
      <w:r w:rsidR="00792D11" w:rsidRPr="007F489F">
        <w:rPr>
          <w:rFonts w:ascii="Century Gothic" w:hAnsi="Century Gothic"/>
        </w:rPr>
        <w:t xml:space="preserve"> </w:t>
      </w:r>
      <w:r w:rsidR="007905C4" w:rsidRPr="007F489F">
        <w:rPr>
          <w:rFonts w:ascii="Century Gothic" w:hAnsi="Century Gothic"/>
        </w:rPr>
        <w:t xml:space="preserve">a </w:t>
      </w:r>
      <w:r w:rsidR="00792D11" w:rsidRPr="007F489F">
        <w:rPr>
          <w:rFonts w:ascii="Century Gothic" w:hAnsi="Century Gothic"/>
        </w:rPr>
        <w:t>aquisição</w:t>
      </w:r>
      <w:r w:rsidR="007905C4" w:rsidRPr="007F489F">
        <w:rPr>
          <w:rFonts w:ascii="Century Gothic" w:hAnsi="Century Gothic"/>
        </w:rPr>
        <w:t xml:space="preserve"> do objeto</w:t>
      </w:r>
      <w:r w:rsidR="003C6E31" w:rsidRPr="007F489F">
        <w:rPr>
          <w:rFonts w:ascii="Century Gothic" w:hAnsi="Century Gothic"/>
        </w:rPr>
        <w:t>.</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15.4. Os fornecedores que não aceitarem reduzir seus preços aos valores praticados pelo mercado serão liberados do compromisso assumido, sem aplicação de penalidade.</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 xml:space="preserve">15.5. A ordem de classificação dos fornecedores que aceitarem reduzir seus preços aos valores de mercado observará a classificação original. </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b) convocar os demais fornecedores para assegurar igual oportunidade de negociação.</w:t>
      </w:r>
    </w:p>
    <w:p w:rsidR="004C39B1"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w:t>
      </w:r>
      <w:r w:rsidR="004C39B1" w:rsidRPr="007F489F">
        <w:rPr>
          <w:rFonts w:ascii="Century Gothic" w:hAnsi="Century Gothic"/>
        </w:rPr>
        <w:t>5</w:t>
      </w:r>
      <w:r w:rsidRPr="007F489F">
        <w:rPr>
          <w:rFonts w:ascii="Century Gothic" w:hAnsi="Century Gothic"/>
        </w:rPr>
        <w:t>.</w:t>
      </w:r>
      <w:r w:rsidR="004C39B1" w:rsidRPr="007F489F">
        <w:rPr>
          <w:rFonts w:ascii="Century Gothic" w:hAnsi="Century Gothic"/>
        </w:rPr>
        <w:t xml:space="preserve">8. </w:t>
      </w:r>
      <w:r w:rsidRPr="007F489F">
        <w:rPr>
          <w:rFonts w:ascii="Century Gothic" w:hAnsi="Century Gothic"/>
        </w:rPr>
        <w:t>A comprovação será feita por meio de documentos, tais como lista de</w:t>
      </w:r>
      <w:r w:rsidR="00792D11" w:rsidRPr="007F489F">
        <w:rPr>
          <w:rFonts w:ascii="Century Gothic" w:hAnsi="Century Gothic"/>
        </w:rPr>
        <w:t xml:space="preserve"> </w:t>
      </w:r>
      <w:r w:rsidRPr="007F489F">
        <w:rPr>
          <w:rFonts w:ascii="Century Gothic" w:hAnsi="Century Gothic"/>
        </w:rPr>
        <w:t>preços de fabricantes, notas fiscais de aquisição de matérias primas, de transporte</w:t>
      </w:r>
      <w:r w:rsidR="00863DE7" w:rsidRPr="007F489F">
        <w:rPr>
          <w:rFonts w:ascii="Century Gothic" w:hAnsi="Century Gothic"/>
        </w:rPr>
        <w:t xml:space="preserve"> </w:t>
      </w:r>
      <w:r w:rsidRPr="007F489F">
        <w:rPr>
          <w:rFonts w:ascii="Century Gothic" w:hAnsi="Century Gothic"/>
        </w:rPr>
        <w:t>de mercadorias alusivas à época da proposta e do momento do pedido de revisão</w:t>
      </w:r>
      <w:r w:rsidR="00863DE7" w:rsidRPr="007F489F">
        <w:rPr>
          <w:rFonts w:ascii="Century Gothic" w:hAnsi="Century Gothic"/>
        </w:rPr>
        <w:t xml:space="preserve"> </w:t>
      </w:r>
      <w:r w:rsidRPr="007F489F">
        <w:rPr>
          <w:rFonts w:ascii="Century Gothic" w:hAnsi="Century Gothic"/>
        </w:rPr>
        <w:t>dos preços.</w:t>
      </w:r>
    </w:p>
    <w:p w:rsidR="004C39B1"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w:t>
      </w:r>
      <w:r w:rsidR="004C39B1" w:rsidRPr="007F489F">
        <w:rPr>
          <w:rFonts w:ascii="Century Gothic" w:hAnsi="Century Gothic"/>
        </w:rPr>
        <w:t>5</w:t>
      </w:r>
      <w:r w:rsidRPr="007F489F">
        <w:rPr>
          <w:rFonts w:ascii="Century Gothic" w:hAnsi="Century Gothic"/>
        </w:rPr>
        <w:t>.</w:t>
      </w:r>
      <w:r w:rsidR="004C39B1" w:rsidRPr="007F489F">
        <w:rPr>
          <w:rFonts w:ascii="Century Gothic" w:hAnsi="Century Gothic"/>
        </w:rPr>
        <w:t xml:space="preserve">9. </w:t>
      </w:r>
      <w:r w:rsidRPr="007F489F">
        <w:rPr>
          <w:rFonts w:ascii="Century Gothic" w:hAnsi="Century Gothic"/>
        </w:rPr>
        <w:t>A Prefeitura, reconhecendo o desequilíbrio econômico financeiro, procederá</w:t>
      </w:r>
      <w:r w:rsidR="00863DE7" w:rsidRPr="007F489F">
        <w:rPr>
          <w:rFonts w:ascii="Century Gothic" w:hAnsi="Century Gothic"/>
        </w:rPr>
        <w:t xml:space="preserve"> </w:t>
      </w:r>
      <w:r w:rsidRPr="007F489F">
        <w:rPr>
          <w:rFonts w:ascii="Century Gothic" w:hAnsi="Century Gothic"/>
        </w:rPr>
        <w:t>à revisão dos preços.</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lastRenderedPageBreak/>
        <w:t>1</w:t>
      </w:r>
      <w:r w:rsidR="004C39B1" w:rsidRPr="007F489F">
        <w:rPr>
          <w:rFonts w:ascii="Century Gothic" w:hAnsi="Century Gothic"/>
        </w:rPr>
        <w:t>5</w:t>
      </w:r>
      <w:r w:rsidRPr="007F489F">
        <w:rPr>
          <w:rFonts w:ascii="Century Gothic" w:hAnsi="Century Gothic"/>
        </w:rPr>
        <w:t>.</w:t>
      </w:r>
      <w:r w:rsidR="004C39B1" w:rsidRPr="007F489F">
        <w:rPr>
          <w:rFonts w:ascii="Century Gothic" w:hAnsi="Century Gothic"/>
        </w:rPr>
        <w:t>10.</w:t>
      </w:r>
      <w:r w:rsidRPr="007F489F">
        <w:rPr>
          <w:rFonts w:ascii="Century Gothic" w:hAnsi="Century Gothic"/>
        </w:rPr>
        <w:t xml:space="preserve"> É vedado à Detentora dos Preços Registrados interromper o fornecimento</w:t>
      </w:r>
      <w:r w:rsidR="00863DE7" w:rsidRPr="007F489F">
        <w:rPr>
          <w:rFonts w:ascii="Century Gothic" w:hAnsi="Century Gothic"/>
        </w:rPr>
        <w:t xml:space="preserve"> </w:t>
      </w:r>
      <w:r w:rsidRPr="007F489F">
        <w:rPr>
          <w:rFonts w:ascii="Century Gothic" w:hAnsi="Century Gothic"/>
        </w:rPr>
        <w:t>enquanto aguarda o trâmite do processo de revisão de preços, estando, neste</w:t>
      </w:r>
      <w:r w:rsidR="00863DE7" w:rsidRPr="007F489F">
        <w:rPr>
          <w:rFonts w:ascii="Century Gothic" w:hAnsi="Century Gothic"/>
        </w:rPr>
        <w:t xml:space="preserve"> </w:t>
      </w:r>
      <w:r w:rsidRPr="007F489F">
        <w:rPr>
          <w:rFonts w:ascii="Century Gothic" w:hAnsi="Century Gothic"/>
        </w:rPr>
        <w:t>caso sujeita às sanções previstas neste Edital.</w:t>
      </w:r>
    </w:p>
    <w:p w:rsidR="003474E5" w:rsidRPr="007F489F" w:rsidRDefault="00417AE8"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16 – DOS LOCAIS E PRAZO</w:t>
      </w:r>
    </w:p>
    <w:p w:rsidR="003474E5"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16.1. O objeto licitado deverá ser </w:t>
      </w:r>
      <w:r w:rsidR="004B54BB" w:rsidRPr="007F489F">
        <w:rPr>
          <w:rFonts w:ascii="Century Gothic" w:hAnsi="Century Gothic"/>
        </w:rPr>
        <w:t>entregue</w:t>
      </w:r>
      <w:r w:rsidR="0057459B" w:rsidRPr="007F489F">
        <w:rPr>
          <w:rFonts w:ascii="Century Gothic" w:hAnsi="Century Gothic"/>
        </w:rPr>
        <w:t>/realizado</w:t>
      </w:r>
      <w:r w:rsidR="003474E5" w:rsidRPr="007F489F">
        <w:rPr>
          <w:rFonts w:ascii="Century Gothic" w:hAnsi="Century Gothic"/>
        </w:rPr>
        <w:t xml:space="preserve"> na sede d</w:t>
      </w:r>
      <w:r w:rsidR="00B47547" w:rsidRPr="007F489F">
        <w:rPr>
          <w:rFonts w:ascii="Century Gothic" w:hAnsi="Century Gothic"/>
        </w:rPr>
        <w:t>o Município de Santo Antônio do Grama</w:t>
      </w:r>
      <w:r w:rsidRPr="007F489F">
        <w:rPr>
          <w:rFonts w:ascii="Century Gothic" w:hAnsi="Century Gothic"/>
        </w:rPr>
        <w:t>, em local designado pel</w:t>
      </w:r>
      <w:r w:rsidR="00B47547" w:rsidRPr="007F489F">
        <w:rPr>
          <w:rFonts w:ascii="Century Gothic" w:hAnsi="Century Gothic"/>
        </w:rPr>
        <w:t>o servidor responsável do contrato</w:t>
      </w:r>
      <w:r w:rsidRPr="007F489F">
        <w:rPr>
          <w:rFonts w:ascii="Century Gothic" w:hAnsi="Century Gothic"/>
        </w:rPr>
        <w:t>.</w:t>
      </w:r>
    </w:p>
    <w:p w:rsidR="00AF512C" w:rsidRPr="007F489F" w:rsidRDefault="00AF512C" w:rsidP="00141B6C">
      <w:pPr>
        <w:spacing w:before="100" w:beforeAutospacing="1" w:after="100" w:afterAutospacing="1"/>
        <w:jc w:val="both"/>
        <w:rPr>
          <w:rFonts w:ascii="Century Gothic" w:hAnsi="Century Gothic"/>
        </w:rPr>
      </w:pPr>
      <w:r w:rsidRPr="007F489F">
        <w:rPr>
          <w:rFonts w:ascii="Century Gothic" w:hAnsi="Century Gothic"/>
        </w:rPr>
        <w:t>16.</w:t>
      </w:r>
      <w:r w:rsidR="004B54BB" w:rsidRPr="007F489F">
        <w:rPr>
          <w:rFonts w:ascii="Century Gothic" w:hAnsi="Century Gothic"/>
        </w:rPr>
        <w:t>2</w:t>
      </w:r>
      <w:r w:rsidRPr="007F489F">
        <w:rPr>
          <w:rFonts w:ascii="Century Gothic" w:hAnsi="Century Gothic"/>
        </w:rPr>
        <w:t xml:space="preserve">. Toda e qualquer despesas vinculadas relativos ao objeto licitado será de inteira responsabilidade do licitante vencedor, ficando o Município de </w:t>
      </w:r>
      <w:r w:rsidR="0094166E" w:rsidRPr="007F489F">
        <w:rPr>
          <w:rFonts w:ascii="Century Gothic" w:hAnsi="Century Gothic"/>
        </w:rPr>
        <w:t>Santo Antônio do Grama</w:t>
      </w:r>
      <w:r w:rsidRPr="007F489F">
        <w:rPr>
          <w:rFonts w:ascii="Century Gothic" w:hAnsi="Century Gothic"/>
        </w:rPr>
        <w:t xml:space="preserve"> isento de qualquer ônus decorrente.</w:t>
      </w:r>
    </w:p>
    <w:p w:rsidR="0057459B" w:rsidRPr="007F489F" w:rsidRDefault="0057459B" w:rsidP="00141B6C">
      <w:pPr>
        <w:spacing w:before="100" w:beforeAutospacing="1" w:after="100" w:afterAutospacing="1"/>
        <w:jc w:val="both"/>
        <w:rPr>
          <w:rFonts w:ascii="Century Gothic" w:hAnsi="Century Gothic"/>
        </w:rPr>
      </w:pPr>
      <w:r w:rsidRPr="007F489F">
        <w:rPr>
          <w:rFonts w:ascii="Century Gothic" w:hAnsi="Century Gothic"/>
        </w:rPr>
        <w:t xml:space="preserve">16.3. </w:t>
      </w:r>
      <w:r w:rsidR="0014604C" w:rsidRPr="007F489F">
        <w:rPr>
          <w:rFonts w:ascii="Century Gothic" w:hAnsi="Century Gothic"/>
        </w:rPr>
        <w:t>A</w:t>
      </w:r>
      <w:r w:rsidR="00863DE7" w:rsidRPr="007F489F">
        <w:rPr>
          <w:rFonts w:ascii="Century Gothic" w:hAnsi="Century Gothic"/>
        </w:rPr>
        <w:t xml:space="preserve"> </w:t>
      </w:r>
      <w:r w:rsidR="0014604C" w:rsidRPr="007F489F">
        <w:rPr>
          <w:rFonts w:ascii="Century Gothic" w:hAnsi="Century Gothic"/>
        </w:rPr>
        <w:t xml:space="preserve">Ata de Registro de Preço </w:t>
      </w:r>
      <w:r w:rsidRPr="007F489F">
        <w:rPr>
          <w:rFonts w:ascii="Century Gothic" w:hAnsi="Century Gothic"/>
        </w:rPr>
        <w:t>terá vigência da data de sua assinatura vigendo por um período de 12 (doze) meses a contar da sua assinatura, podendo</w:t>
      </w:r>
      <w:r w:rsidR="0014604C" w:rsidRPr="007F489F">
        <w:rPr>
          <w:rFonts w:ascii="Century Gothic" w:hAnsi="Century Gothic"/>
        </w:rPr>
        <w:t>, se legalmente,</w:t>
      </w:r>
      <w:r w:rsidRPr="007F489F">
        <w:rPr>
          <w:rFonts w:ascii="Century Gothic" w:hAnsi="Century Gothic"/>
        </w:rPr>
        <w:t xml:space="preserve"> ser prorrogado na forma do art. 57 da Lei nº 8.666/93.</w:t>
      </w:r>
    </w:p>
    <w:p w:rsidR="0057459B" w:rsidRPr="007F489F" w:rsidRDefault="0057459B" w:rsidP="00141B6C">
      <w:pPr>
        <w:spacing w:before="100" w:beforeAutospacing="1" w:after="100" w:afterAutospacing="1"/>
        <w:jc w:val="both"/>
        <w:rPr>
          <w:rFonts w:ascii="Century Gothic" w:hAnsi="Century Gothic"/>
        </w:rPr>
      </w:pPr>
      <w:r w:rsidRPr="007F489F">
        <w:rPr>
          <w:rFonts w:ascii="Century Gothic" w:hAnsi="Century Gothic"/>
        </w:rPr>
        <w:t xml:space="preserve">16.4. O contratado terá o prazo de </w:t>
      </w:r>
      <w:r w:rsidR="00EE0552" w:rsidRPr="007F489F">
        <w:rPr>
          <w:rFonts w:ascii="Century Gothic" w:hAnsi="Century Gothic"/>
        </w:rPr>
        <w:t>02</w:t>
      </w:r>
      <w:r w:rsidRPr="007F489F">
        <w:rPr>
          <w:rFonts w:ascii="Century Gothic" w:hAnsi="Century Gothic"/>
        </w:rPr>
        <w:t xml:space="preserve"> (</w:t>
      </w:r>
      <w:r w:rsidR="00EE0552" w:rsidRPr="007F489F">
        <w:rPr>
          <w:rFonts w:ascii="Century Gothic" w:hAnsi="Century Gothic"/>
        </w:rPr>
        <w:t>dois</w:t>
      </w:r>
      <w:r w:rsidRPr="007F489F">
        <w:rPr>
          <w:rFonts w:ascii="Century Gothic" w:hAnsi="Century Gothic"/>
        </w:rPr>
        <w:t xml:space="preserve">) dias, após a emissão da ordem de fornecimento, para </w:t>
      </w:r>
      <w:r w:rsidR="004E2205" w:rsidRPr="007F489F">
        <w:rPr>
          <w:rFonts w:ascii="Century Gothic" w:hAnsi="Century Gothic"/>
        </w:rPr>
        <w:t>entrega</w:t>
      </w:r>
      <w:r w:rsidR="00EE0552" w:rsidRPr="007F489F">
        <w:rPr>
          <w:rFonts w:ascii="Century Gothic" w:hAnsi="Century Gothic"/>
        </w:rPr>
        <w:t>/realização</w:t>
      </w:r>
      <w:r w:rsidR="004E2205" w:rsidRPr="007F489F">
        <w:rPr>
          <w:rFonts w:ascii="Century Gothic" w:hAnsi="Century Gothic"/>
        </w:rPr>
        <w:t xml:space="preserve"> do bem</w:t>
      </w:r>
      <w:r w:rsidR="00EE0552" w:rsidRPr="007F489F">
        <w:rPr>
          <w:rFonts w:ascii="Century Gothic" w:hAnsi="Century Gothic"/>
        </w:rPr>
        <w:t>/serviço</w:t>
      </w:r>
      <w:r w:rsidR="004E2205" w:rsidRPr="007F489F">
        <w:rPr>
          <w:rFonts w:ascii="Century Gothic" w:hAnsi="Century Gothic"/>
        </w:rPr>
        <w:t xml:space="preserve"> na sede do Município de </w:t>
      </w:r>
      <w:r w:rsidR="0094166E" w:rsidRPr="007F489F">
        <w:rPr>
          <w:rFonts w:ascii="Century Gothic" w:hAnsi="Century Gothic"/>
        </w:rPr>
        <w:t>Santo Antônio do Grama</w:t>
      </w:r>
      <w:r w:rsidR="00EE0552" w:rsidRPr="007F489F">
        <w:rPr>
          <w:rFonts w:ascii="Century Gothic" w:hAnsi="Century Gothic"/>
        </w:rPr>
        <w:t xml:space="preserve"> ou no local de execução dos serviços sem qualquer ônus decorrente</w:t>
      </w:r>
      <w:r w:rsidRPr="007F489F">
        <w:rPr>
          <w:rFonts w:ascii="Century Gothic" w:hAnsi="Century Gothic"/>
        </w:rPr>
        <w:t xml:space="preserve">; </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17 – DO ACOMPANHAMENTO E DA FISCALIZAÇÃO</w:t>
      </w:r>
    </w:p>
    <w:p w:rsidR="00792D11" w:rsidRPr="007F489F" w:rsidRDefault="00417AE8" w:rsidP="00792D11">
      <w:pPr>
        <w:spacing w:before="100" w:beforeAutospacing="1" w:after="100" w:afterAutospacing="1"/>
        <w:jc w:val="both"/>
        <w:rPr>
          <w:rFonts w:ascii="Century Gothic" w:hAnsi="Century Gothic"/>
        </w:rPr>
      </w:pPr>
      <w:r w:rsidRPr="007F489F">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7F489F">
        <w:rPr>
          <w:rFonts w:ascii="Century Gothic" w:hAnsi="Century Gothic"/>
        </w:rPr>
        <w:t>Santo Antônio do Grama</w:t>
      </w:r>
      <w:r w:rsidRPr="007F489F">
        <w:rPr>
          <w:rFonts w:ascii="Century Gothic" w:hAnsi="Century Gothic"/>
        </w:rPr>
        <w:t xml:space="preserve"> para esse fim.</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18 – DAS DISPOSIÇOES GERAIS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18.1. É facultada a </w:t>
      </w:r>
      <w:r w:rsidR="003D1D83" w:rsidRPr="007F489F">
        <w:rPr>
          <w:rFonts w:ascii="Century Gothic" w:hAnsi="Century Gothic"/>
        </w:rPr>
        <w:t>PREGOEIRA</w:t>
      </w:r>
      <w:r w:rsidRPr="007F489F">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18.2.1. A anulação do procedimento induz à do contrato.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7F489F">
        <w:rPr>
          <w:rFonts w:ascii="Century Gothic" w:hAnsi="Century Gothic"/>
        </w:rPr>
        <w:t>do contrato administrativo</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18.4. Os proponentes são responsáveis pela fidelidade e legitimidade das informações e dos documentos apresentados em qualquer fase da licitação.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 xml:space="preserve">18.5. Não havendo expediente ou ocorrendo qualquer fato superveniente que impeça a realização do certame na data marcada, a sessão será redesignada para o dia, hora e local definido, e, novamente publicado </w:t>
      </w:r>
      <w:r w:rsidR="0057459B" w:rsidRPr="007F489F">
        <w:rPr>
          <w:rFonts w:ascii="Century Gothic" w:hAnsi="Century Gothic"/>
        </w:rPr>
        <w:t>no Diário Oficial do Município.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7F489F">
        <w:rPr>
          <w:rFonts w:ascii="Century Gothic" w:hAnsi="Century Gothic"/>
        </w:rPr>
        <w:t>Santo Antônio do Grama</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7F489F">
        <w:rPr>
          <w:rFonts w:ascii="Century Gothic" w:hAnsi="Century Gothic"/>
        </w:rPr>
        <w:t>do</w:t>
      </w:r>
      <w:r w:rsidRPr="007F489F">
        <w:rPr>
          <w:rFonts w:ascii="Century Gothic" w:hAnsi="Century Gothic"/>
        </w:rPr>
        <w:t xml:space="preserve"> PREGÃO, por escrito, a </w:t>
      </w:r>
      <w:r w:rsidR="003D1D83" w:rsidRPr="007F489F">
        <w:rPr>
          <w:rFonts w:ascii="Century Gothic" w:hAnsi="Century Gothic"/>
        </w:rPr>
        <w:t>PREGOEIRA</w:t>
      </w:r>
      <w:r w:rsidRPr="007F489F">
        <w:rPr>
          <w:rFonts w:ascii="Century Gothic" w:hAnsi="Century Gothic"/>
        </w:rPr>
        <w:t xml:space="preserve">, devendo ser sido protocolizada no Protocolo Geral da Prefeitura Municipal de </w:t>
      </w:r>
      <w:r w:rsidR="0094166E" w:rsidRPr="007F489F">
        <w:rPr>
          <w:rFonts w:ascii="Century Gothic" w:hAnsi="Century Gothic"/>
        </w:rPr>
        <w:t>Santo Antônio do Grama</w:t>
      </w:r>
      <w:r w:rsidR="00924BB6" w:rsidRPr="007F489F">
        <w:rPr>
          <w:rFonts w:ascii="Century Gothic" w:hAnsi="Century Gothic"/>
        </w:rPr>
        <w:t xml:space="preserve">, podendo inclusive ser encaminhado no endereço eletrônico: </w:t>
      </w:r>
      <w:hyperlink r:id="rId12" w:history="1">
        <w:r w:rsidR="0094166E" w:rsidRPr="007F489F">
          <w:rPr>
            <w:rStyle w:val="Hyperlink"/>
            <w:rFonts w:ascii="Century Gothic" w:hAnsi="Century Gothic"/>
            <w:color w:val="auto"/>
          </w:rPr>
          <w:t>compraselicitacao@gmail.com</w:t>
        </w:r>
      </w:hyperlink>
      <w:r w:rsidR="00924BB6" w:rsidRPr="007F489F">
        <w:rPr>
          <w:rFonts w:ascii="Century Gothic" w:hAnsi="Century Gothic"/>
        </w:rPr>
        <w:t xml:space="preserve">. </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18.9. A homologação do resultado desta licitação não implicará direito à contratação.</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18.10. Os casos omissos aplicam-se as disposições constantes da Lei Federal 8.666/93, a Lei Federal 10.520/2002 e demais legislações aplicáveis, observadas suas alterações.</w:t>
      </w:r>
    </w:p>
    <w:p w:rsidR="00FE002D" w:rsidRPr="007F489F" w:rsidRDefault="003767B6"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19 – DOS ANEXOS</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19.1. São partes integrantes deste edital os anexos</w:t>
      </w:r>
      <w:r w:rsidR="00C52C59" w:rsidRPr="007F489F">
        <w:rPr>
          <w:rFonts w:ascii="Century Gothic" w:hAnsi="Century Gothic"/>
        </w:rPr>
        <w:t xml:space="preserve"> de I a V constante deste Edital Convocatório.</w:t>
      </w:r>
    </w:p>
    <w:p w:rsidR="00FE002D" w:rsidRPr="007F489F" w:rsidRDefault="003767B6" w:rsidP="00FE002D">
      <w:pPr>
        <w:spacing w:before="100" w:beforeAutospacing="1" w:after="100" w:afterAutospacing="1"/>
        <w:jc w:val="both"/>
        <w:rPr>
          <w:rFonts w:ascii="Century Gothic" w:hAnsi="Century Gothic"/>
          <w:b/>
          <w:u w:val="single"/>
        </w:rPr>
      </w:pPr>
      <w:r w:rsidRPr="007F489F">
        <w:rPr>
          <w:rFonts w:ascii="Century Gothic" w:hAnsi="Century Gothic"/>
          <w:b/>
          <w:u w:val="single"/>
        </w:rPr>
        <w:t>2</w:t>
      </w:r>
      <w:r w:rsidR="002A46F6" w:rsidRPr="007F489F">
        <w:rPr>
          <w:rFonts w:ascii="Century Gothic" w:hAnsi="Century Gothic"/>
          <w:b/>
          <w:u w:val="single"/>
        </w:rPr>
        <w:t>0.</w:t>
      </w:r>
      <w:r w:rsidRPr="007F489F">
        <w:rPr>
          <w:rFonts w:ascii="Century Gothic" w:hAnsi="Century Gothic"/>
          <w:b/>
          <w:u w:val="single"/>
        </w:rPr>
        <w:t xml:space="preserve"> DO FORO</w:t>
      </w:r>
    </w:p>
    <w:p w:rsidR="00FE002D" w:rsidRPr="007F489F" w:rsidRDefault="00417AE8" w:rsidP="00ED1EBE">
      <w:pPr>
        <w:jc w:val="both"/>
        <w:rPr>
          <w:rFonts w:ascii="Century Gothic" w:hAnsi="Century Gothic"/>
        </w:rPr>
      </w:pPr>
      <w:r w:rsidRPr="007F489F">
        <w:rPr>
          <w:rFonts w:ascii="Century Gothic" w:hAnsi="Century Gothic"/>
        </w:rPr>
        <w:t>2</w:t>
      </w:r>
      <w:r w:rsidR="002A46F6" w:rsidRPr="007F489F">
        <w:rPr>
          <w:rFonts w:ascii="Century Gothic" w:hAnsi="Century Gothic"/>
        </w:rPr>
        <w:t>0</w:t>
      </w:r>
      <w:r w:rsidRPr="007F489F">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7F489F">
        <w:rPr>
          <w:rFonts w:ascii="Century Gothic" w:hAnsi="Century Gothic"/>
        </w:rPr>
        <w:t>Rio Casco</w:t>
      </w:r>
      <w:r w:rsidRPr="007F489F">
        <w:rPr>
          <w:rFonts w:ascii="Century Gothic" w:hAnsi="Century Gothic"/>
        </w:rPr>
        <w:t>, com exclusão de qualquer outro, por mais privilegiado que seja.</w:t>
      </w:r>
    </w:p>
    <w:p w:rsidR="003369C3" w:rsidRPr="007F489F" w:rsidRDefault="003369C3" w:rsidP="00ED1EBE">
      <w:pPr>
        <w:jc w:val="both"/>
        <w:rPr>
          <w:rFonts w:ascii="Century Gothic" w:hAnsi="Century Gothic"/>
        </w:rPr>
      </w:pPr>
    </w:p>
    <w:p w:rsidR="00FE002D" w:rsidRPr="007F489F" w:rsidRDefault="0094166E" w:rsidP="00ED1EBE">
      <w:pPr>
        <w:jc w:val="both"/>
        <w:rPr>
          <w:rFonts w:ascii="Century Gothic" w:hAnsi="Century Gothic"/>
        </w:rPr>
      </w:pPr>
      <w:r w:rsidRPr="007F489F">
        <w:rPr>
          <w:rFonts w:ascii="Century Gothic" w:hAnsi="Century Gothic"/>
        </w:rPr>
        <w:t>Santo Antônio do Grama</w:t>
      </w:r>
      <w:r w:rsidR="00C8032C" w:rsidRPr="007F489F">
        <w:rPr>
          <w:rFonts w:ascii="Century Gothic" w:hAnsi="Century Gothic"/>
        </w:rPr>
        <w:t xml:space="preserve">, </w:t>
      </w:r>
      <w:r w:rsidR="003F7C2E">
        <w:rPr>
          <w:rFonts w:ascii="Century Gothic" w:hAnsi="Century Gothic"/>
        </w:rPr>
        <w:t>05</w:t>
      </w:r>
      <w:r w:rsidR="003369C3" w:rsidRPr="007F489F">
        <w:rPr>
          <w:rFonts w:ascii="Century Gothic" w:hAnsi="Century Gothic"/>
        </w:rPr>
        <w:t xml:space="preserve"> </w:t>
      </w:r>
      <w:r w:rsidR="00263255" w:rsidRPr="007F489F">
        <w:rPr>
          <w:rFonts w:ascii="Century Gothic" w:hAnsi="Century Gothic"/>
        </w:rPr>
        <w:t>de outubro</w:t>
      </w:r>
      <w:r w:rsidR="00810309" w:rsidRPr="007F489F">
        <w:rPr>
          <w:rFonts w:ascii="Century Gothic" w:hAnsi="Century Gothic"/>
        </w:rPr>
        <w:t xml:space="preserve"> </w:t>
      </w:r>
      <w:r w:rsidR="00621D75" w:rsidRPr="007F489F">
        <w:rPr>
          <w:rFonts w:ascii="Century Gothic" w:hAnsi="Century Gothic"/>
        </w:rPr>
        <w:t>de 2023</w:t>
      </w:r>
      <w:r w:rsidR="00417AE8" w:rsidRPr="007F489F">
        <w:rPr>
          <w:rFonts w:ascii="Century Gothic" w:hAnsi="Century Gothic"/>
        </w:rPr>
        <w:t>.</w:t>
      </w:r>
    </w:p>
    <w:p w:rsidR="00810309" w:rsidRPr="007F489F" w:rsidRDefault="00810309" w:rsidP="00ED1EBE">
      <w:pPr>
        <w:jc w:val="both"/>
        <w:rPr>
          <w:rFonts w:ascii="Century Gothic" w:hAnsi="Century Gothic"/>
        </w:rPr>
      </w:pPr>
    </w:p>
    <w:p w:rsidR="00810309" w:rsidRPr="007F489F" w:rsidRDefault="00810309" w:rsidP="00ED1EBE">
      <w:pPr>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7F489F" w:rsidTr="00514C47">
        <w:tc>
          <w:tcPr>
            <w:tcW w:w="4670" w:type="dxa"/>
          </w:tcPr>
          <w:p w:rsidR="00FE002D" w:rsidRPr="007F489F" w:rsidRDefault="00263255" w:rsidP="00514C47">
            <w:pPr>
              <w:rPr>
                <w:rFonts w:ascii="Century Gothic" w:hAnsi="Century Gothic"/>
              </w:rPr>
            </w:pPr>
            <w:r w:rsidRPr="007F489F">
              <w:rPr>
                <w:rFonts w:ascii="Century Gothic" w:hAnsi="Century Gothic"/>
              </w:rPr>
              <w:t>MARCOS AURÉLIO R</w:t>
            </w:r>
            <w:r w:rsidR="00310E38" w:rsidRPr="007F489F">
              <w:rPr>
                <w:rFonts w:ascii="Century Gothic" w:hAnsi="Century Gothic"/>
              </w:rPr>
              <w:t>AMINHO</w:t>
            </w:r>
          </w:p>
          <w:p w:rsidR="00FE002D" w:rsidRPr="007F489F" w:rsidRDefault="00FE002D" w:rsidP="00514C47">
            <w:pPr>
              <w:rPr>
                <w:rFonts w:ascii="Century Gothic" w:hAnsi="Century Gothic"/>
              </w:rPr>
            </w:pPr>
            <w:r w:rsidRPr="007F489F">
              <w:rPr>
                <w:rFonts w:ascii="Century Gothic" w:hAnsi="Century Gothic"/>
              </w:rPr>
              <w:t>PREFEITO MUNICIPAL</w:t>
            </w:r>
          </w:p>
        </w:tc>
        <w:tc>
          <w:tcPr>
            <w:tcW w:w="4050" w:type="dxa"/>
          </w:tcPr>
          <w:p w:rsidR="00FE002D" w:rsidRPr="007F489F" w:rsidRDefault="0094166E" w:rsidP="00514C47">
            <w:pPr>
              <w:rPr>
                <w:rFonts w:ascii="Century Gothic" w:hAnsi="Century Gothic"/>
              </w:rPr>
            </w:pPr>
            <w:r w:rsidRPr="007F489F">
              <w:rPr>
                <w:rFonts w:ascii="Century Gothic" w:hAnsi="Century Gothic"/>
              </w:rPr>
              <w:t>LETÍCIA MARIA TEIXEIRA PEREIRA</w:t>
            </w:r>
          </w:p>
          <w:p w:rsidR="00FE002D" w:rsidRPr="007F489F" w:rsidRDefault="00FE002D" w:rsidP="00514C47">
            <w:pPr>
              <w:rPr>
                <w:rFonts w:ascii="Century Gothic" w:hAnsi="Century Gothic"/>
              </w:rPr>
            </w:pPr>
            <w:r w:rsidRPr="007F489F">
              <w:rPr>
                <w:rFonts w:ascii="Century Gothic" w:hAnsi="Century Gothic"/>
              </w:rPr>
              <w:t>PREGOEIRA</w:t>
            </w:r>
          </w:p>
        </w:tc>
      </w:tr>
    </w:tbl>
    <w:p w:rsidR="00FE002D" w:rsidRPr="007F489F" w:rsidRDefault="00FE002D" w:rsidP="00FE002D">
      <w:pPr>
        <w:spacing w:before="100" w:beforeAutospacing="1" w:after="100" w:afterAutospacing="1"/>
        <w:jc w:val="both"/>
        <w:rPr>
          <w:rFonts w:ascii="Century Gothic" w:hAnsi="Century Gothic"/>
        </w:rPr>
      </w:pPr>
    </w:p>
    <w:p w:rsidR="00621D75" w:rsidRPr="007F489F" w:rsidRDefault="00621D75" w:rsidP="00D5561F">
      <w:pPr>
        <w:jc w:val="center"/>
        <w:rPr>
          <w:rFonts w:ascii="Century Gothic" w:hAnsi="Century Gothic"/>
          <w:b/>
          <w:u w:val="single"/>
        </w:rPr>
      </w:pPr>
    </w:p>
    <w:p w:rsidR="00322BFB" w:rsidRPr="007F489F" w:rsidRDefault="00322BFB" w:rsidP="00D5561F">
      <w:pPr>
        <w:jc w:val="center"/>
        <w:rPr>
          <w:rFonts w:ascii="Century Gothic" w:hAnsi="Century Gothic"/>
          <w:b/>
          <w:u w:val="single"/>
        </w:rPr>
      </w:pPr>
    </w:p>
    <w:p w:rsidR="00322BFB" w:rsidRPr="007F489F" w:rsidRDefault="00322BFB" w:rsidP="00D5561F">
      <w:pPr>
        <w:jc w:val="center"/>
        <w:rPr>
          <w:rFonts w:ascii="Century Gothic" w:hAnsi="Century Gothic"/>
          <w:b/>
          <w:u w:val="single"/>
        </w:rPr>
      </w:pPr>
    </w:p>
    <w:p w:rsidR="00322BFB" w:rsidRPr="007F489F" w:rsidRDefault="00322BFB"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D5561F" w:rsidRPr="007F489F" w:rsidRDefault="00D5561F" w:rsidP="00D5561F">
      <w:pPr>
        <w:jc w:val="center"/>
        <w:rPr>
          <w:rFonts w:ascii="Century Gothic" w:hAnsi="Century Gothic"/>
          <w:b/>
          <w:u w:val="single"/>
        </w:rPr>
      </w:pPr>
      <w:r w:rsidRPr="007F489F">
        <w:rPr>
          <w:rFonts w:ascii="Century Gothic" w:hAnsi="Century Gothic"/>
          <w:b/>
          <w:u w:val="single"/>
        </w:rPr>
        <w:lastRenderedPageBreak/>
        <w:t>ANEXO I</w:t>
      </w:r>
    </w:p>
    <w:p w:rsidR="00D5561F" w:rsidRPr="007F489F" w:rsidRDefault="00D5561F" w:rsidP="00D5561F">
      <w:pPr>
        <w:jc w:val="center"/>
        <w:rPr>
          <w:rFonts w:ascii="Century Gothic" w:hAnsi="Century Gothic"/>
          <w:b/>
          <w:u w:val="single"/>
        </w:rPr>
      </w:pPr>
      <w:r w:rsidRPr="007F489F">
        <w:rPr>
          <w:rFonts w:ascii="Century Gothic" w:hAnsi="Century Gothic"/>
          <w:b/>
          <w:u w:val="single"/>
        </w:rPr>
        <w:t>TERMO DE REFERÊNCIA</w:t>
      </w:r>
    </w:p>
    <w:p w:rsidR="00D5561F" w:rsidRPr="007F489F" w:rsidRDefault="00D5561F" w:rsidP="00D5561F">
      <w:pPr>
        <w:spacing w:before="100" w:beforeAutospacing="1" w:after="100" w:afterAutospacing="1"/>
        <w:jc w:val="both"/>
        <w:rPr>
          <w:rFonts w:ascii="Century Gothic" w:hAnsi="Century Gothic"/>
          <w:b/>
          <w:bCs/>
        </w:rPr>
      </w:pPr>
      <w:r w:rsidRPr="007F489F">
        <w:rPr>
          <w:rFonts w:ascii="Century Gothic" w:hAnsi="Century Gothic"/>
          <w:b/>
          <w:bCs/>
        </w:rPr>
        <w:t>1. OBJETO</w:t>
      </w:r>
    </w:p>
    <w:p w:rsidR="00D5561F" w:rsidRPr="007F489F" w:rsidRDefault="00D5561F" w:rsidP="003369C3">
      <w:pPr>
        <w:spacing w:before="100" w:beforeAutospacing="1" w:after="100" w:afterAutospacing="1"/>
        <w:jc w:val="both"/>
        <w:rPr>
          <w:rFonts w:ascii="Century Gothic" w:hAnsi="Century Gothic"/>
        </w:rPr>
      </w:pPr>
      <w:r w:rsidRPr="007F489F">
        <w:rPr>
          <w:rFonts w:ascii="Century Gothic" w:hAnsi="Century Gothic"/>
        </w:rPr>
        <w:t>1.1. Abertura de processo licitatório,</w:t>
      </w:r>
      <w:r w:rsidR="003369C3" w:rsidRPr="007F489F">
        <w:rPr>
          <w:rFonts w:ascii="Century Gothic" w:hAnsi="Century Gothic"/>
        </w:rPr>
        <w:t xml:space="preserve"> para REGISTRO DE PREÇO, na modalidade de PREGÃO PRESENCIAL, do tipo MENOR PREÇO, com a finalidade de selecionar a melhor proposta para </w:t>
      </w:r>
      <w:r w:rsidR="00263255" w:rsidRPr="007F489F">
        <w:rPr>
          <w:rFonts w:ascii="Century Gothic" w:hAnsi="Century Gothic"/>
        </w:rPr>
        <w:t xml:space="preserve">o </w:t>
      </w:r>
      <w:r w:rsidR="00263255" w:rsidRPr="007F489F">
        <w:rPr>
          <w:rFonts w:ascii="Century Gothic" w:hAnsi="Century Gothic" w:cs="Arial"/>
        </w:rPr>
        <w:t>Registro de preços, para futura e eventual aquisição de suplementos alimentares, fórmulas infantis, leites especiais para manutenção das atividades da Secretaria de Saúde</w:t>
      </w:r>
      <w:r w:rsidR="00CA6F97" w:rsidRPr="007F489F">
        <w:rPr>
          <w:rFonts w:ascii="Century Gothic" w:hAnsi="Century Gothic"/>
        </w:rPr>
        <w:t xml:space="preserve">, </w:t>
      </w:r>
      <w:r w:rsidR="00263255" w:rsidRPr="007F489F">
        <w:rPr>
          <w:rFonts w:ascii="Century Gothic" w:hAnsi="Century Gothic"/>
        </w:rPr>
        <w:t>conforme especificações constantes no anexo i do edital</w:t>
      </w:r>
      <w:r w:rsidR="00EB5876" w:rsidRPr="007F489F">
        <w:rPr>
          <w:rFonts w:ascii="Century Gothic" w:hAnsi="Century Gothic"/>
        </w:rPr>
        <w:t>, nos termos seguintes: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983"/>
        <w:gridCol w:w="834"/>
        <w:gridCol w:w="4063"/>
        <w:gridCol w:w="972"/>
        <w:gridCol w:w="1473"/>
      </w:tblGrid>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ITEM</w:t>
            </w:r>
          </w:p>
        </w:tc>
        <w:tc>
          <w:tcPr>
            <w:tcW w:w="406"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QUANT.</w:t>
            </w:r>
          </w:p>
        </w:tc>
        <w:tc>
          <w:tcPr>
            <w:tcW w:w="526"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rPr>
                <w:rFonts w:ascii="Arial" w:eastAsia="Calibri" w:hAnsi="Arial" w:cs="Arial"/>
                <w:b/>
                <w:lang w:eastAsia="en-US"/>
              </w:rPr>
            </w:pPr>
            <w:r w:rsidRPr="007F489F">
              <w:rPr>
                <w:rFonts w:ascii="Arial" w:eastAsia="Calibri" w:hAnsi="Arial" w:cs="Arial"/>
                <w:b/>
                <w:lang w:eastAsia="en-US"/>
              </w:rPr>
              <w:t>UNI.</w:t>
            </w:r>
          </w:p>
        </w:tc>
        <w:tc>
          <w:tcPr>
            <w:tcW w:w="2314"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Descrição do Produto</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Valor Unitário</w:t>
            </w: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Valor Total</w:t>
            </w: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01</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pStyle w:val="SemEspaamento"/>
              <w:jc w:val="both"/>
              <w:rPr>
                <w:rFonts w:ascii="Century Gothic" w:hAnsi="Century Gothic"/>
                <w:lang w:val="pt-PT" w:bidi="pt-PT"/>
              </w:rPr>
            </w:pPr>
            <w:r w:rsidRPr="007F489F">
              <w:rPr>
                <w:rFonts w:ascii="Century Gothic" w:hAnsi="Century Gothic"/>
                <w:lang w:val="pt-PT" w:bidi="pt-PT"/>
              </w:rPr>
              <w:t>FÓRMULA INFANTIL, 800G, À BASE DE SOJA PARA LACTENTES DE 0 A 6 MESES DE VIDA. SENDO ESTÁ LIVRE DE PROTEÍNAS LÁCTEAS.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02</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 800G, À BASE DE SOJA</w:t>
            </w:r>
            <w:r w:rsidRPr="007F489F">
              <w:rPr>
                <w:rFonts w:ascii="Century Gothic" w:hAnsi="Century Gothic"/>
                <w:lang w:val="pt-PT" w:bidi="pt-PT"/>
              </w:rPr>
              <w:t xml:space="preserve"> </w:t>
            </w:r>
            <w:r w:rsidRPr="007F489F">
              <w:rPr>
                <w:rFonts w:ascii="Century Gothic" w:eastAsia="Arial" w:hAnsi="Century Gothic"/>
                <w:lang w:val="pt-PT" w:bidi="pt-PT"/>
              </w:rPr>
              <w:t>PARA LACTENTES A PARTIR DOS 6 MESES DE</w:t>
            </w:r>
            <w:r w:rsidRPr="007F489F">
              <w:rPr>
                <w:rFonts w:ascii="Century Gothic" w:hAnsi="Century Gothic"/>
                <w:lang w:val="pt-PT" w:bidi="pt-PT"/>
              </w:rPr>
              <w:t xml:space="preserve"> </w:t>
            </w:r>
            <w:r w:rsidRPr="007F489F">
              <w:rPr>
                <w:rFonts w:ascii="Century Gothic" w:eastAsia="Arial" w:hAnsi="Century Gothic"/>
                <w:lang w:val="pt-PT" w:bidi="pt-PT"/>
              </w:rPr>
              <w:t>VIDA. NÃO CONTÉM PROTEÍNAS LÁCTEAS.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03</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120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PREGOMIN PEPTI 800GR</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04</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NESTOGENO 1 800GR -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05</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NESTOGENO 2 800GR - FÓRMULA INFANTIL PARA LACTENTES DE 6 A 12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06</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APTAMIL 1 800GR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07</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APTAMIL 2 800GR FÓRMULA INFANTIL PARA LACTENTES A PARTIR DOS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08</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w:t>
            </w:r>
            <w:r w:rsidRPr="007F489F">
              <w:rPr>
                <w:rFonts w:ascii="Century Gothic" w:hAnsi="Century Gothic"/>
              </w:rPr>
              <w:t xml:space="preserve"> - TIPO APTAMIL SOJA 1, LATA - 800GR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09</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tabs>
                <w:tab w:val="left" w:pos="2685"/>
              </w:tabs>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w:t>
            </w:r>
            <w:r w:rsidRPr="007F489F">
              <w:rPr>
                <w:rFonts w:ascii="Century Gothic" w:hAnsi="Century Gothic"/>
              </w:rPr>
              <w:t xml:space="preserve"> - TIPO APTAMIL SOJA 2 , LATA 800GR FÓRMULA INFANTIL PARA LACTENTES A PARTIR DOS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10</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NAN COMFOR 1 – 800GR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11</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NAN COMFOR 2 – 800GR FÓRMULA INFANTIL PARA LACTENTES A PARTIR DOS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12</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eastAsia="pt-PT" w:bidi="pt-PT"/>
              </w:rPr>
              <w:t xml:space="preserve">DIETA ENTERAL LIQUIDA HIPERCALÓRICA - ISOSOURCE 1.5 </w:t>
            </w:r>
            <w:r w:rsidRPr="007F489F">
              <w:rPr>
                <w:rFonts w:ascii="Century Gothic" w:hAnsi="Century Gothic"/>
              </w:rPr>
              <w:t>DIETA ENTERAL LÍQUIDA, POLIMÉRICA, NUTRICIONALMENTE COMPLETA, HIPERCALÓRICA.</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13</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eastAsia="pt-PT" w:bidi="pt-PT"/>
              </w:rPr>
              <w:t xml:space="preserve">DIETA ENTERAL LÍQUIDA – ISOSOURCE SOYA – NUTRICIONAL ENTERAL E ORAL </w:t>
            </w:r>
            <w:r w:rsidRPr="007F489F">
              <w:rPr>
                <w:rFonts w:ascii="Century Gothic" w:eastAsia="Arial" w:hAnsi="Century Gothic"/>
                <w:lang w:val="pt-PT" w:eastAsia="pt-PT" w:bidi="pt-PT"/>
              </w:rPr>
              <w:lastRenderedPageBreak/>
              <w:t>1,2KCAL/ML SEM FIBRAS E COM PROTEÍNA DE SOJA</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lastRenderedPageBreak/>
              <w:t>14</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eastAsia="pt-PT" w:bidi="pt-PT"/>
              </w:rPr>
              <w:t>DIETA ENTERAL LIQUIDA – ISOSOURCE SOYA FIBER – FÓRMULA NUTRICIONAL ENTERAL E ORAL 1,2KCAL/ML COM FIBRAS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15</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300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cs="Arial"/>
              </w:rPr>
            </w:pPr>
            <w:r w:rsidRPr="007F489F">
              <w:rPr>
                <w:rFonts w:ascii="Century Gothic" w:hAnsi="Century Gothic" w:cs="Arial"/>
              </w:rPr>
              <w:t>FORTINI SEM SABOR 400GR – SUPLEMENTO DE NUTRIÇÃO ENTERAL E ORAL PARA CRIANÇAS</w:t>
            </w:r>
          </w:p>
          <w:p w:rsidR="00263255" w:rsidRPr="007F489F" w:rsidRDefault="00263255" w:rsidP="003F7C2E">
            <w:pPr>
              <w:jc w:val="both"/>
              <w:rPr>
                <w:rFonts w:ascii="Century Gothic" w:hAnsi="Century Gothic" w:cs="Arial"/>
              </w:rPr>
            </w:pP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16</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cs="Arial"/>
              </w:rPr>
            </w:pPr>
            <w:r w:rsidRPr="007F489F">
              <w:rPr>
                <w:rFonts w:ascii="Century Gothic" w:hAnsi="Century Gothic" w:cs="Arial"/>
              </w:rPr>
              <w:t>COMPLEMENTO ALIMENTAR TIPO NUTREN SENIOR- COMPLEMENTO ALIMENTAR DA NESTLÉ DESENVOLVIDO ESPECIALMENTE PARA QUEM TEM 50 ANOS OU MAIS. POSSUI UMA COMBINAÇÃO EXCLUSIVA DE CÁLCIO, PROTEÍNA E VITAMINA D, NUTRIENTES QUE CONTRIBUEM DE OSSOS E MÚSCULOS.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bl>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2. JUSTIFICATIVA</w:t>
      </w:r>
    </w:p>
    <w:p w:rsidR="00263255" w:rsidRPr="007F489F" w:rsidRDefault="0030239D" w:rsidP="00263255">
      <w:pPr>
        <w:spacing w:line="276" w:lineRule="auto"/>
        <w:jc w:val="both"/>
        <w:rPr>
          <w:rFonts w:ascii="Century Gothic" w:hAnsi="Century Gothic" w:cs="Arial"/>
        </w:rPr>
      </w:pPr>
      <w:r w:rsidRPr="007F489F">
        <w:rPr>
          <w:rFonts w:ascii="Century Gothic" w:hAnsi="Century Gothic"/>
        </w:rPr>
        <w:t>2.1.</w:t>
      </w:r>
      <w:r w:rsidR="00A447D4" w:rsidRPr="007F489F">
        <w:rPr>
          <w:rFonts w:ascii="Century Gothic" w:hAnsi="Century Gothic"/>
        </w:rPr>
        <w:t xml:space="preserve"> </w:t>
      </w:r>
      <w:r w:rsidR="00263255" w:rsidRPr="007F489F">
        <w:rPr>
          <w:rFonts w:ascii="Century Gothic" w:eastAsia="Calibri" w:hAnsi="Century Gothic" w:cs="Arial"/>
          <w:lang w:eastAsia="en-US"/>
        </w:rPr>
        <w:t xml:space="preserve">A presente aquisição se justifica pela necessidade de disponibilizar para a Secretaria Municipal de Saúde os suplementos alimentares necessários para complementação da alimentação de crianças e demais pessoas do município. A escolha pelo SISTEMA DE REGISTRO DE PREÇOS </w:t>
      </w:r>
      <w:r w:rsidR="00263255" w:rsidRPr="007F489F">
        <w:rPr>
          <w:rFonts w:ascii="Century Gothic" w:eastAsia="Calibri" w:hAnsi="Century Gothic" w:cs="Arial"/>
          <w:b/>
          <w:lang w:eastAsia="en-US"/>
        </w:rPr>
        <w:t>“SRP”</w:t>
      </w:r>
      <w:r w:rsidR="00263255" w:rsidRPr="007F489F">
        <w:rPr>
          <w:rFonts w:ascii="Century Gothic" w:eastAsia="Calibri" w:hAnsi="Century Gothic" w:cs="Arial"/>
          <w:lang w:eastAsia="en-US"/>
        </w:rPr>
        <w:t xml:space="preserve"> </w:t>
      </w:r>
      <w:r w:rsidR="00F658F2" w:rsidRPr="007F489F">
        <w:rPr>
          <w:rFonts w:ascii="Century Gothic" w:eastAsia="Calibri" w:hAnsi="Century Gothic" w:cs="Arial"/>
          <w:lang w:eastAsia="en-US"/>
        </w:rPr>
        <w:t>está</w:t>
      </w:r>
      <w:r w:rsidR="00263255" w:rsidRPr="007F489F">
        <w:rPr>
          <w:rFonts w:ascii="Century Gothic" w:eastAsia="Calibri" w:hAnsi="Century Gothic" w:cs="Arial"/>
          <w:lang w:eastAsia="en-US"/>
        </w:rPr>
        <w:t xml:space="preserve"> ampara no Inciso II do art. 15 da Lei Federal nº 8.666/93.</w:t>
      </w:r>
    </w:p>
    <w:p w:rsidR="005D0A5A" w:rsidRPr="007F489F" w:rsidRDefault="005D0A5A" w:rsidP="00A447D4">
      <w:pPr>
        <w:jc w:val="both"/>
        <w:rPr>
          <w:rFonts w:ascii="Century Gothic" w:hAnsi="Century Gothic"/>
        </w:rPr>
      </w:pPr>
    </w:p>
    <w:p w:rsidR="00A447D4" w:rsidRPr="007F489F" w:rsidRDefault="00A447D4" w:rsidP="00A447D4">
      <w:pPr>
        <w:jc w:val="both"/>
        <w:rPr>
          <w:rFonts w:ascii="Century Gothic" w:hAnsi="Century Gothic"/>
        </w:rPr>
      </w:pPr>
      <w:r w:rsidRPr="007F489F">
        <w:rPr>
          <w:rFonts w:ascii="Century Gothic" w:hAnsi="Century Gothic"/>
        </w:rPr>
        <w:t>2.2. O custo estimado da presente contratação consta do bojo processual administrativo, não sendo divulgado, em conformidade com o disposto no Acórdão nº 2080/2012 do TCU e Acórdão nº 2989/2018.</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3. LOCALIDADE ENTREGA DOS PRODUTOS</w:t>
      </w:r>
    </w:p>
    <w:p w:rsidR="00544383" w:rsidRDefault="0030239D" w:rsidP="00544383">
      <w:pPr>
        <w:jc w:val="both"/>
        <w:rPr>
          <w:rFonts w:ascii="Century Gothic" w:hAnsi="Century Gothic"/>
        </w:rPr>
      </w:pPr>
      <w:r w:rsidRPr="007F489F">
        <w:rPr>
          <w:rFonts w:ascii="Century Gothic" w:hAnsi="Century Gothic"/>
        </w:rPr>
        <w:t xml:space="preserve">3.1. </w:t>
      </w:r>
      <w:r w:rsidR="00544383" w:rsidRPr="007F489F">
        <w:rPr>
          <w:rFonts w:ascii="Century Gothic" w:hAnsi="Century Gothic"/>
        </w:rPr>
        <w:t xml:space="preserve">O objeto será solicitado pelo Município tão logo surja a necessidade, ficando condicionado que o local da entrega será informado pelo </w:t>
      </w:r>
      <w:r w:rsidR="003F7C2E">
        <w:rPr>
          <w:rFonts w:ascii="Century Gothic" w:hAnsi="Century Gothic"/>
        </w:rPr>
        <w:t>servidor responsável</w:t>
      </w:r>
      <w:r w:rsidR="00544383" w:rsidRPr="007F489F">
        <w:rPr>
          <w:rFonts w:ascii="Century Gothic" w:hAnsi="Century Gothic"/>
        </w:rPr>
        <w:t xml:space="preserve"> o que representa a necessidade da CONTRATADA em cumprimento ao estabelecido na legislação ambiental.</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4. PRAZO DE ENTREGA</w:t>
      </w:r>
    </w:p>
    <w:p w:rsidR="0030239D" w:rsidRPr="007F489F" w:rsidRDefault="00861E48" w:rsidP="0030239D">
      <w:pPr>
        <w:spacing w:before="100" w:beforeAutospacing="1" w:after="100" w:afterAutospacing="1"/>
        <w:jc w:val="both"/>
        <w:rPr>
          <w:rFonts w:ascii="Century Gothic" w:hAnsi="Century Gothic"/>
        </w:rPr>
      </w:pPr>
      <w:r w:rsidRPr="007F489F">
        <w:rPr>
          <w:rFonts w:ascii="Century Gothic" w:hAnsi="Century Gothic"/>
        </w:rPr>
        <w:t xml:space="preserve">4.1. </w:t>
      </w:r>
      <w:r w:rsidR="0030239D" w:rsidRPr="007F489F">
        <w:rPr>
          <w:rFonts w:ascii="Century Gothic" w:hAnsi="Century Gothic"/>
        </w:rPr>
        <w:t>Os bens deverão ser entregue em até cinco dias após solicitado.</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5. CONDIÇÕES DE RECEBIMENTO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5.1. Deverá ser verifi</w:t>
      </w:r>
      <w:r w:rsidR="00F658F2" w:rsidRPr="007F489F">
        <w:rPr>
          <w:rFonts w:ascii="Century Gothic" w:hAnsi="Century Gothic"/>
        </w:rPr>
        <w:t>cada a equivalência do objeto</w:t>
      </w:r>
      <w:r w:rsidRPr="007F489F">
        <w:rPr>
          <w:rFonts w:ascii="Century Gothic" w:hAnsi="Century Gothic"/>
        </w:rPr>
        <w:t xml:space="preserve"> entregue com as especificações co</w:t>
      </w:r>
      <w:r w:rsidR="00F658F2" w:rsidRPr="007F489F">
        <w:rPr>
          <w:rFonts w:ascii="Century Gothic" w:hAnsi="Century Gothic"/>
        </w:rPr>
        <w:t>ntidas no Edital e seus Anexos.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5.2. A aceitação do produto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6. OBRIGAÇÕES DA CONTRATADA/ DETENTORA DA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a) Fornecer os produtos/serviços em conformidade com o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Cumprir com os prazos de fornecimento determinados neste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Responsabilizar-se, integralmente, pela execução do objeto, conforme legislação vigente.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Cumprir, além dos postulados legais vigentes no âmbito federal, estadual e municipal, as normas da Prefeitura Municipal deste município.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g) Arcar com todos os ônus de transportes e fretes necessários.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h) Demais obrigações e responsabilidades previstas pela Lei Federal nº 8.666/93 e demais legislações pertinentes.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j) Indenizar o município Santo Antônio do Grama por todo e qualquer dano decorrente, direta e indiretamente, desta aquisição, por culpa ou dolo de seus empregados ou prepostos;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l) Cumprir fielmente as exigências deste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n) Realizar as entregas nos locais indicados na Ordem de Compras.</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7. OBRIGAÇÕES DO CONTRATANTE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Exercer a fiscalização da execução do objeto através da Secretaria requisitante, na forma prevista pela Lei Federal nº 8.666/93.</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Notificar, formal e tempestivamente, a Contratada sobre irregularidades observadas nos produtos.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Disponibilizar todas as informações necessárias para a correta execução do objeto.</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8. CONDIÇÕES DE PAGAMENTO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Os pagamentos à Detentora da Ata somente serão realizados mediante a efetiva entrega dos produtos nas condições estabelecidas, que será comprovado por meio Termo de Recebimento Definitivo do Objeto e/ou Recibo pelo Servidor responsável pelo recebimento;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Todo pagamento que vier a ser considerado contratualmente indevido será objeto de ajuste nos pagamentos futuros ou cobrados da Detentora da Ata.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9. SANÇÕES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 Comete infração administrativa, nos termos da Lei nº 10.520/2002 e demais legislação pertinente, a licitante/Adjudicatária que, no decorrer da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9.1.1. Não assinar o Contrato, quando convocada dentro do prazo de validade da proposta.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9.1.2. Apresentar documentação falsa.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9.1.3. Deixar de entregar os documentos exigidos no certame.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9.1.4. Não mantiver a sua proposta dentro de prazo de validade.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9.1.5. Comportar-se de modo inidôneo.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9.1.6. Cometer fraude fiscal.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9.1.7. Fizer declaração falsa.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9.1.8. Ensejar o retardamento da execução do certame.</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10. DA CONDUTA DE PREVENÇÃO DE FRAUDE E CORRUPÇÃO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a) prática corrupta: oferecer, dar, receber ou solicitar, direta ou indiretamente, qualquer vantagem com o objetivo de influenciar a ação de servidor público no processo de licitação ou na execução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prática fraudulenta: falsificar ou omitir fatos, com o objetivo de influenciar o processo de licitação ou de execução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11. DOTAÇÃO ORÇAMENTÁRIA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11.1. As despesas da contratação que se pretende correrão pela seguinte dotação orçamentária: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A dotação orçamentária para a contratação feita por este Registro de Preços será efetuada à medida que forem solicitadas ao Gestor do Registro de Preços, conforme dispõe o art. 7º, §2º do Decreto Federal 7.892/2013;</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Servirão de cobertura às contratações oriundas da Ata de Registro de Pr</w:t>
      </w:r>
      <w:r w:rsidR="00CA6F97" w:rsidRPr="007F489F">
        <w:rPr>
          <w:rFonts w:ascii="Century Gothic" w:hAnsi="Century Gothic"/>
        </w:rPr>
        <w:t xml:space="preserve">eços para os exercícios de </w:t>
      </w:r>
      <w:r w:rsidRPr="007F489F">
        <w:rPr>
          <w:rFonts w:ascii="Century Gothic" w:hAnsi="Century Gothic"/>
        </w:rPr>
        <w:t>2023</w:t>
      </w:r>
      <w:r w:rsidR="00CA6F97" w:rsidRPr="007F489F">
        <w:rPr>
          <w:rFonts w:ascii="Century Gothic" w:hAnsi="Century Gothic"/>
        </w:rPr>
        <w:t>/2024</w:t>
      </w:r>
      <w:r w:rsidRPr="007F489F">
        <w:rPr>
          <w:rFonts w:ascii="Century Gothic" w:hAnsi="Century Gothic"/>
        </w:rPr>
        <w:t>, os recursos orçamentários da unidade orçamentária requisitante. Havendo necessidade, por determinação da Administração, poderão ser utilizados recursos orçamentários de qualquer Secretaria Municipal;</w:t>
      </w:r>
    </w:p>
    <w:p w:rsidR="0030239D" w:rsidRPr="007F489F" w:rsidRDefault="0030239D" w:rsidP="00560C71">
      <w:pPr>
        <w:spacing w:before="100" w:beforeAutospacing="1" w:after="100" w:afterAutospacing="1"/>
        <w:jc w:val="both"/>
        <w:rPr>
          <w:rFonts w:ascii="Century Gothic" w:hAnsi="Century Gothic"/>
        </w:rPr>
      </w:pPr>
      <w:r w:rsidRPr="007F489F">
        <w:rPr>
          <w:rFonts w:ascii="Century Gothic" w:hAnsi="Century Gothic"/>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560C71"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 xml:space="preserve">12. </w:t>
      </w:r>
      <w:r w:rsidR="00560C71" w:rsidRPr="007F489F">
        <w:rPr>
          <w:rFonts w:ascii="Century Gothic" w:hAnsi="Century Gothic" w:cs="Arial"/>
          <w:b/>
        </w:rPr>
        <w:t>DA AMOSTRA</w:t>
      </w:r>
    </w:p>
    <w:p w:rsidR="00560C71" w:rsidRPr="007F489F" w:rsidRDefault="00560C71" w:rsidP="0030239D">
      <w:pPr>
        <w:spacing w:before="100" w:beforeAutospacing="1" w:after="100" w:afterAutospacing="1"/>
        <w:jc w:val="both"/>
        <w:rPr>
          <w:rFonts w:ascii="Century Gothic" w:hAnsi="Century Gothic"/>
          <w:b/>
          <w:bCs/>
        </w:rPr>
      </w:pPr>
      <w:r w:rsidRPr="007F489F">
        <w:rPr>
          <w:rFonts w:ascii="Century Gothic" w:hAnsi="Century Gothic" w:cs="Arial"/>
        </w:rPr>
        <w:t>12.1 – A administração municipal reservava-se no direito, caso julgue necessário de solicitar das empresas vencedoras a apresentação de amostras dos produtos que se dispuser a fornecer ao município. As análises das amostras serão efetuadas pelo departamento de compras da administração.</w:t>
      </w:r>
    </w:p>
    <w:p w:rsidR="00560C71" w:rsidRPr="007F489F" w:rsidRDefault="00560C71" w:rsidP="00560C71">
      <w:pPr>
        <w:spacing w:line="276" w:lineRule="auto"/>
        <w:jc w:val="both"/>
        <w:rPr>
          <w:rFonts w:ascii="Century Gothic" w:hAnsi="Century Gothic" w:cs="Arial"/>
        </w:rPr>
      </w:pPr>
      <w:r w:rsidRPr="007F489F">
        <w:rPr>
          <w:rFonts w:ascii="Century Gothic" w:hAnsi="Century Gothic" w:cs="Arial"/>
        </w:rPr>
        <w:t>12.2 – A amostra que apresentar problema de natureza técnica e/ou descritivas ou que for declarada de péssima qualidade, comprometendo durabilidade, eficiência e economicidade, será imediatamente recusada, mesmo que possua todas as especificações exigidas neste edital. Nestas circunstâncias, a administração reserva-se no direito de convocar os licitantes remanescentes.</w:t>
      </w:r>
    </w:p>
    <w:p w:rsidR="00560C71" w:rsidRPr="007F489F" w:rsidRDefault="00560C71" w:rsidP="00560C71">
      <w:pPr>
        <w:spacing w:line="276" w:lineRule="auto"/>
        <w:jc w:val="both"/>
        <w:rPr>
          <w:rFonts w:ascii="Century Gothic" w:hAnsi="Century Gothic" w:cs="Arial"/>
        </w:rPr>
      </w:pPr>
      <w:r w:rsidRPr="007F489F">
        <w:rPr>
          <w:rFonts w:ascii="Century Gothic" w:hAnsi="Century Gothic" w:cs="Arial"/>
        </w:rPr>
        <w:lastRenderedPageBreak/>
        <w:t>12.3 - A amostra que obtiver aprovação poderá (a critério da administração) efetivamente ser adquirida.</w:t>
      </w:r>
    </w:p>
    <w:p w:rsidR="00560C71" w:rsidRPr="007F489F" w:rsidRDefault="00560C71" w:rsidP="00560C71">
      <w:pPr>
        <w:spacing w:before="100" w:beforeAutospacing="1" w:after="100" w:afterAutospacing="1"/>
        <w:jc w:val="both"/>
        <w:rPr>
          <w:rFonts w:ascii="Century Gothic" w:hAnsi="Century Gothic" w:cs="Arial"/>
        </w:rPr>
      </w:pPr>
      <w:r w:rsidRPr="007F489F">
        <w:rPr>
          <w:rFonts w:ascii="Century Gothic" w:hAnsi="Century Gothic" w:cs="Arial"/>
        </w:rPr>
        <w:t>12.4 – As amostras rejeitadas deverão ser retiradas da Seção de Almoxarifado, no prazo máximo de 30 dias, contados da apresentação. Caso contrário, serão consideradas abandonadas.</w:t>
      </w:r>
    </w:p>
    <w:p w:rsidR="00560C71" w:rsidRPr="007F489F" w:rsidRDefault="00560C71" w:rsidP="00560C71">
      <w:pPr>
        <w:spacing w:line="276" w:lineRule="auto"/>
        <w:jc w:val="both"/>
        <w:rPr>
          <w:rFonts w:ascii="Century Gothic" w:hAnsi="Century Gothic" w:cs="Arial"/>
        </w:rPr>
      </w:pPr>
      <w:r w:rsidRPr="007F489F">
        <w:rPr>
          <w:rFonts w:ascii="Century Gothic" w:hAnsi="Century Gothic" w:cs="Arial"/>
        </w:rPr>
        <w:t>12.5 - A licitante vencedora ficará responsável por todos os tributos, custos e demais despesas, a fim de que o objeto do presente certame seja entregue, inclusive todas as despesas provenientes das amostras.</w:t>
      </w:r>
    </w:p>
    <w:p w:rsidR="0030239D" w:rsidRPr="007F489F" w:rsidRDefault="00560C71" w:rsidP="0030239D">
      <w:pPr>
        <w:spacing w:before="100" w:beforeAutospacing="1" w:after="100" w:afterAutospacing="1"/>
        <w:jc w:val="both"/>
        <w:rPr>
          <w:rFonts w:ascii="Century Gothic" w:hAnsi="Century Gothic"/>
          <w:b/>
          <w:bCs/>
        </w:rPr>
      </w:pPr>
      <w:r w:rsidRPr="007F489F">
        <w:rPr>
          <w:rFonts w:ascii="Century Gothic" w:hAnsi="Century Gothic"/>
          <w:b/>
          <w:bCs/>
        </w:rPr>
        <w:t>13.</w:t>
      </w:r>
      <w:r w:rsidR="0030239D" w:rsidRPr="007F489F">
        <w:rPr>
          <w:rFonts w:ascii="Century Gothic" w:hAnsi="Century Gothic"/>
          <w:b/>
          <w:bCs/>
        </w:rPr>
        <w:t xml:space="preserve">APROVAÇÃO DO TERMO DE REFERÊNCIA E AUTORIZAÇÃO PARA LICITAR </w:t>
      </w:r>
    </w:p>
    <w:p w:rsidR="0030239D" w:rsidRPr="007F489F" w:rsidRDefault="00560C71" w:rsidP="0030239D">
      <w:pPr>
        <w:spacing w:before="100" w:beforeAutospacing="1" w:after="100" w:afterAutospacing="1"/>
        <w:jc w:val="both"/>
        <w:rPr>
          <w:rFonts w:ascii="Century Gothic" w:hAnsi="Century Gothic"/>
        </w:rPr>
      </w:pPr>
      <w:r w:rsidRPr="007F489F">
        <w:rPr>
          <w:rFonts w:ascii="Century Gothic" w:hAnsi="Century Gothic"/>
        </w:rPr>
        <w:t>13</w:t>
      </w:r>
      <w:r w:rsidR="0030239D" w:rsidRPr="007F489F">
        <w:rPr>
          <w:rFonts w:ascii="Century Gothic" w:hAnsi="Century Gothic"/>
        </w:rPr>
        <w:t>.1. Aprova o termo de referência e autorizo a abertura de licitação por ser o objeto da licitação.</w:t>
      </w:r>
    </w:p>
    <w:p w:rsidR="0030239D" w:rsidRPr="007F489F" w:rsidRDefault="00F658F2" w:rsidP="0030239D">
      <w:pPr>
        <w:spacing w:before="100" w:beforeAutospacing="1" w:after="100" w:afterAutospacing="1"/>
        <w:jc w:val="both"/>
        <w:rPr>
          <w:rFonts w:ascii="Century Gothic" w:hAnsi="Century Gothic"/>
        </w:rPr>
      </w:pPr>
      <w:r w:rsidRPr="007F489F">
        <w:rPr>
          <w:rFonts w:ascii="Century Gothic" w:hAnsi="Century Gothic"/>
        </w:rPr>
        <w:t>Santo Antônio do Grama,  05 de outubro</w:t>
      </w:r>
      <w:r w:rsidR="00CA6F97" w:rsidRPr="007F489F">
        <w:rPr>
          <w:rFonts w:ascii="Century Gothic" w:hAnsi="Century Gothic"/>
        </w:rPr>
        <w:t xml:space="preserve"> de 2023</w:t>
      </w:r>
    </w:p>
    <w:p w:rsidR="0030239D" w:rsidRPr="007F489F" w:rsidRDefault="0030239D" w:rsidP="0030239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30239D" w:rsidRPr="007F489F" w:rsidTr="00CA6F97">
        <w:tc>
          <w:tcPr>
            <w:tcW w:w="4670" w:type="dxa"/>
          </w:tcPr>
          <w:p w:rsidR="0030239D" w:rsidRPr="007F489F" w:rsidRDefault="0030239D" w:rsidP="00CA6F97">
            <w:pPr>
              <w:jc w:val="both"/>
              <w:rPr>
                <w:rFonts w:ascii="Century Gothic" w:hAnsi="Century Gothic"/>
              </w:rPr>
            </w:pPr>
            <w:r w:rsidRPr="007F489F">
              <w:rPr>
                <w:rFonts w:ascii="Century Gothic" w:hAnsi="Century Gothic"/>
              </w:rPr>
              <w:t xml:space="preserve">MARCO AURÉLIO RAMINHO </w:t>
            </w:r>
          </w:p>
          <w:p w:rsidR="0030239D" w:rsidRPr="007F489F" w:rsidRDefault="0030239D" w:rsidP="00CA6F97">
            <w:pPr>
              <w:jc w:val="both"/>
              <w:rPr>
                <w:rFonts w:ascii="Century Gothic" w:hAnsi="Century Gothic"/>
              </w:rPr>
            </w:pPr>
            <w:r w:rsidRPr="007F489F">
              <w:rPr>
                <w:rFonts w:ascii="Century Gothic" w:hAnsi="Century Gothic"/>
              </w:rPr>
              <w:t>PREFEITO MUNICIPAL</w:t>
            </w:r>
          </w:p>
        </w:tc>
        <w:tc>
          <w:tcPr>
            <w:tcW w:w="4050" w:type="dxa"/>
          </w:tcPr>
          <w:p w:rsidR="0030239D" w:rsidRPr="007F489F" w:rsidRDefault="0030239D" w:rsidP="00CA6F97">
            <w:pPr>
              <w:jc w:val="both"/>
              <w:rPr>
                <w:rFonts w:ascii="Century Gothic" w:hAnsi="Century Gothic"/>
              </w:rPr>
            </w:pPr>
          </w:p>
        </w:tc>
      </w:tr>
    </w:tbl>
    <w:p w:rsidR="0030239D" w:rsidRPr="007F489F" w:rsidRDefault="0030239D" w:rsidP="0030239D">
      <w:pPr>
        <w:jc w:val="both"/>
        <w:rPr>
          <w:rFonts w:ascii="Century Gothic" w:hAnsi="Century Gothic"/>
        </w:rPr>
      </w:pPr>
    </w:p>
    <w:p w:rsidR="0030239D" w:rsidRPr="007F489F" w:rsidRDefault="0030239D" w:rsidP="0030239D">
      <w:pPr>
        <w:jc w:val="both"/>
        <w:rPr>
          <w:rFonts w:ascii="Century Gothic" w:hAnsi="Century Gothic"/>
        </w:rPr>
      </w:pPr>
    </w:p>
    <w:p w:rsidR="0030239D" w:rsidRPr="007F489F" w:rsidRDefault="00F658F2" w:rsidP="0030239D">
      <w:pPr>
        <w:jc w:val="both"/>
        <w:rPr>
          <w:rFonts w:ascii="Century Gothic" w:hAnsi="Century Gothic"/>
        </w:rPr>
      </w:pPr>
      <w:r w:rsidRPr="007F489F">
        <w:rPr>
          <w:rFonts w:ascii="Century Gothic" w:hAnsi="Century Gothic"/>
        </w:rPr>
        <w:t>MARCÍLIO</w:t>
      </w:r>
    </w:p>
    <w:p w:rsidR="0030239D" w:rsidRPr="007F489F" w:rsidRDefault="00F658F2" w:rsidP="0030239D">
      <w:pPr>
        <w:jc w:val="both"/>
        <w:rPr>
          <w:rFonts w:ascii="Century Gothic" w:hAnsi="Century Gothic"/>
          <w:b/>
        </w:rPr>
      </w:pPr>
      <w:r w:rsidRPr="007F489F">
        <w:rPr>
          <w:rFonts w:ascii="Century Gothic" w:hAnsi="Century Gothic"/>
        </w:rPr>
        <w:t>SECRETÁRIO MUNICIPAL DE SAÚDE</w:t>
      </w: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bCs/>
          <w:u w:val="single"/>
        </w:rPr>
      </w:pPr>
      <w:r w:rsidRPr="007F489F">
        <w:rPr>
          <w:rFonts w:ascii="Century Gothic" w:hAnsi="Century Gothic"/>
          <w:b/>
          <w:bCs/>
          <w:u w:val="single"/>
        </w:rPr>
        <w:t>ANEXO II</w:t>
      </w:r>
    </w:p>
    <w:p w:rsidR="0030239D" w:rsidRPr="007F489F" w:rsidRDefault="0030239D" w:rsidP="0030239D">
      <w:pPr>
        <w:jc w:val="both"/>
        <w:rPr>
          <w:rFonts w:ascii="Century Gothic" w:hAnsi="Century Gothic"/>
          <w:b/>
          <w:bCs/>
          <w:u w:val="single"/>
        </w:rPr>
      </w:pPr>
      <w:r w:rsidRPr="007F489F">
        <w:rPr>
          <w:rFonts w:ascii="Century Gothic" w:hAnsi="Century Gothic"/>
          <w:b/>
          <w:bCs/>
          <w:u w:val="single"/>
        </w:rPr>
        <w:t>MINUTA DE ATA DE REGISTRO DE PREÇO</w:t>
      </w:r>
    </w:p>
    <w:p w:rsidR="0030239D" w:rsidRPr="007F489F" w:rsidRDefault="0030239D" w:rsidP="0030239D">
      <w:pPr>
        <w:jc w:val="both"/>
        <w:rPr>
          <w:rFonts w:ascii="Century Gothic" w:hAnsi="Century Gothic"/>
          <w:b/>
          <w:bCs/>
          <w:u w:val="single"/>
        </w:rPr>
      </w:pP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w:t>
      </w:r>
      <w:r w:rsidRPr="007F489F">
        <w:rPr>
          <w:rFonts w:ascii="Century Gothic" w:eastAsia="DotumChe" w:hAnsi="Century Gothic"/>
        </w:rPr>
        <w:t>MARCO AURÉLIO RAMINHO, brasileiro, casado</w:t>
      </w:r>
      <w:r w:rsidRPr="007F489F">
        <w:rPr>
          <w:rFonts w:ascii="Century Gothic" w:hAnsi="Century Gothic"/>
        </w:rPr>
        <w:t>,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CLÁUSULA I - DO OBJETO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1.1. A presente Ata de Registro de Preços tem por objeto o</w:t>
      </w:r>
      <w:r w:rsidR="00CA6F97" w:rsidRPr="007F489F">
        <w:rPr>
          <w:rFonts w:ascii="Century Gothic" w:hAnsi="Century Gothic"/>
        </w:rPr>
        <w:t xml:space="preserve"> </w:t>
      </w:r>
      <w:r w:rsidR="00F658F2" w:rsidRPr="007F489F">
        <w:rPr>
          <w:rFonts w:ascii="Century Gothic" w:hAnsi="Century Gothic" w:cs="Arial"/>
        </w:rPr>
        <w:t>Registro de preços, para futura e eventual aquisição de suplementos alimentares, fórmulas infantis, leites especiais para manutenção das atividades da Secretaria de Saúde, conforme solicitação</w:t>
      </w:r>
      <w:r w:rsidRPr="007F489F">
        <w:rPr>
          <w:rFonts w:ascii="Century Gothic" w:hAnsi="Century Gothic"/>
        </w:rPr>
        <w:t xml:space="preserve">, conforme constante no Anexo I, que é parte integrante desta Ata, assim como a proposta vencedora, independentemente de transcrição. </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2. DOS PREÇOS, ESPECIFICAÇÕES E QUANTITATIVOS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2.1. Os preços, especificações e quantitativos registrados são os constantes no Anexo I, parte integrante da presente Ata.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3. VALIDADE DA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3.1. A validade desta Ata de Registro de Preços será de 12 (doze) meses, contados a partir de sua publicação, não podendo ser prorrogada.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4. REVISÃO E CANCELAMENTO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4.1. A Administração realizará pesquisa de mercado periodicamente, a fim de verificar a vantajosidade dos preços registrados nesta Ata.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4.3. Quando o preço registrado tornar-se superior ao preço praticado no mercado por motivo superveniente, a Administração convocará o(s) fornecedor(es) para negociar(em) a redução dos preços aos valores praticados pelo mercado.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4.4. O fornecedor que não aceitar reduzir seu preço ao valor praticado pelo mercado será liberado do compromisso assumido, sem aplicação de penalidade.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4.5. Quando o preço de mercado tornar-se superior aos preços registrados e o fornecedor não puder cumprir o compromisso, o órgão gerenciador poderá:</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4.5.1. liberar o fornecedor do compromisso assumido, caso a comunicação ocorra antes do pedido de fornecimento, e sem aplicação da penalidade se confirmada a veracidade dos motivos e comprovantes apresentados; 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4.5.2. convocar os demais fornecedores para assegurar igual oportunidade de negociação.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4.6. Não havendo êxito nas negociações, o órgão gerenciador deverá proceder à revogação desta ata de registro de preços, adotando as medidas cabíveis para obtenção da contratação mais vantajosa.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4.7. O registro do fornecedor será cancelado quando: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4.7.1. descumprir as condições da ata de registro de preços;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4.7.2. não retirar a nota de empenho ou instrumento equivalente no prazo estabelecido pela Administração, sem justificativa aceitável;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4.7.3. não aceitar reduzir o seu preço registrado, na hipótese deste se tornar superior àqueles praticados no mercado; ou</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4.7.4. sofrer sanção administrativa cujo efeito torne-o proibido de celebrar contrato administrativo, alcançando o órgão gerenciador e órgão(s) participante(s).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4.8. O cancelamento de registros nas hipóteses previstas nos itens 5.6.1, 5.6.2 e 5.6.4 será formalizado por despacho do órgão gerenciador, assegurado o contraditório e a ampla defesa.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4.9. O cancelamento do registro de preços poderá ocorrer por fato superveniente, decorrente de caso fortuito ou força maior, que prejudique o cumprimento da ata, devidamente comprovados e justificados: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4.9.1. por razão de interesse público; ou</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4.9.2. a pedido do fornecedor.</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5. DA ENTREGA DO OBJETO CONTRATUAL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5.1 - O serviço/objeto será solicitado pelo Município tão logo surja a necessi</w:t>
      </w:r>
      <w:r w:rsidR="00861E48" w:rsidRPr="007F489F">
        <w:rPr>
          <w:rFonts w:ascii="Century Gothic" w:hAnsi="Century Gothic"/>
        </w:rPr>
        <w:t>dade, ficando condicionado que o local da</w:t>
      </w:r>
      <w:r w:rsidRPr="007F489F">
        <w:rPr>
          <w:rFonts w:ascii="Century Gothic" w:hAnsi="Century Gothic"/>
        </w:rPr>
        <w:t xml:space="preserve"> entrega será </w:t>
      </w:r>
      <w:r w:rsidR="00861E48" w:rsidRPr="007F489F">
        <w:rPr>
          <w:rFonts w:ascii="Century Gothic" w:hAnsi="Century Gothic"/>
        </w:rPr>
        <w:t>informado pelo secretári</w:t>
      </w:r>
      <w:r w:rsidR="00F658F2" w:rsidRPr="007F489F">
        <w:rPr>
          <w:rFonts w:ascii="Century Gothic" w:hAnsi="Century Gothic"/>
        </w:rPr>
        <w:t>o de saúde</w:t>
      </w:r>
      <w:r w:rsidRPr="007F489F">
        <w:rPr>
          <w:rFonts w:ascii="Century Gothic" w:hAnsi="Century Gothic"/>
        </w:rPr>
        <w:t xml:space="preserve"> o que representa a necessidade da CONTRATADA em cumprimento ao estabelecido na legislação ambiental.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5.2 - É de total responsabilidade do licitante todas as despesas com a prestação do serviço, taxas, encargos de qualquer natureza e quaisquer despesas administrativas incidentes no preço apresentado na Licitação.</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6. DAS CONDIÇÕES DE FATURAMENTO E PAGAMENTO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6.1 - O Faturamento será feito após a realização do serviço/entrega com a apresentação das respectivas Notas Fiscais, acompanhadas das autorizações de fornecimento e relatório nos termos estabelecidos pela municipalidade.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6.1.1 - Para o faturamento deverá ser apresentado a Nota Fiscal com número da licitação, da Ata de Registro de Preços e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6.2 - O pagamento será efetuado em até 30 (trinta) dias, contados da data do faturamento, através de transferência para a conta bancária de titularidade da Contratada.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6.3 - DA SUSPENSÃO E DO CANCELAMENTO DO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6.3.1 O preço registrado será suspenso nos seguintes casos: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w:t>
      </w:r>
      <w:r w:rsidRPr="007F489F">
        <w:rPr>
          <w:rFonts w:ascii="Century Gothic" w:hAnsi="Century Gothic"/>
        </w:rPr>
        <w:lastRenderedPageBreak/>
        <w:t>Gerais, em tempo hábil, os motivos da sua impossibilidade, permitindo a convocação do fornecedor seguinte.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 O preço registrado será cancelado nos seguintes casos: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6.2.1. Pelo Município de Santo Antônio do Grama Estado de Minas Gerais: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o FORNECEDOR não cumprir as exigências do Edital, salvo a hipótese de suspensão da letra “a” do subitem 6.3.1;</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b) o FORNECEDOR não formalizar a contratação decorrente do registro de preços ou não retirar o instrumento equivalente no prazo estabelecido, salvo se aceita sua justificativa;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o FORNECEDOR der causa à rescisão administrativa do contrato decorrente do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em quaisquer hipóteses de inexecução total ou parcial do objeto contratado, decorrente do registro de preços, salvo a hipótese de suspensão da letra “b” do subitem 6.1;</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o FORNECEDOR não aceitar reduzir os preços registrados na hipótese em que esses se tornarem superiores aos praticados pelo mercado;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f) por razões de interesse público;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g) na hipótese de reincidência de fato que tenha dado origem à suspensão;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h) se todos os preços forem cancelados, hipótese em que se revogará a presente Ata de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6.3.2.2. Pelo FORNECEDOR:</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mediante solicitação por escrito, antes de ser convocado por meio da Autorização de Serviço, comprovando estar impossibilitado de cumprir as exigências desta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mediante solicitação por escrito, na ocorrência de fato superveniente, decorrente de caso fortuito ou força maior.</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6.3.2.4. A comunicação do cancelamento de preço registrado será formalizada pelo Município de Santo Antônio do Grama, Estado de Minas Gerais e publicada no Diário Oficial, juntando-se comprovante nos autos do presente registro de preços.</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7 – DA RESPONSABILIDADE E DA SANÇÃO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7.1 – Durante o prazo de vigência da presente Ata de Registro de Preço a empresa poderá ser convocada para assinar quantos contratos forem necessários para suprir a necessidade da Administração.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7.2 - Pela recusa injustificada em assinar o termo contratual ou em retirar o documento equivalente, dentro do prazo estabelecido, será aplicada multa correspondente a 10% do valor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7.2 - Pelo descumprimento das condições estabelecidas no edital da licitação e na presente Ata de Registro de Preços ficará a Empresa sujeita às seguintes penalidades: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7.2.1 - Pelo atraso injustificado na entrega do objeto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7.2.1.2. Ficam estabelecidos os seguintes percentuais de multas, aplicáveis quando do descumprimento da presente contratação: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II. 10% (dez por cento) sobre o valor dos serviços contratados, conforme orçamento aprovado, no caso de atraso superior a 30 (trinta) dias na execução dos serviços contratados ou no cumprimento de obrigação legal, com a possível rescisão contratual.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7.2.1.3. As sanções previstas, em face da gravidade da infração, poderão ser aplicadas cumulativamente, após regular processo administrativo, em que se garantirá a observância dos princípios do contraditório e da ampla defesa.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 xml:space="preserve">7.3 – A Empresa fica obrigada a manter durante toda a vigência da Ata de Registro de Preços, em compatibilidade com as obrigações por ela assumidas, todas as condições de habilitação e qualificação exigidas na licitação.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dedução de créditos do FORNECEDOR;</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medida judicial apropriada, a critério do Município de Santo Antônio do Grama, Estado de Minas Gerais.</w:t>
      </w:r>
    </w:p>
    <w:p w:rsidR="0030239D" w:rsidRPr="007F489F" w:rsidRDefault="0030239D" w:rsidP="0030239D">
      <w:pPr>
        <w:spacing w:before="100" w:beforeAutospacing="1" w:after="100" w:afterAutospacing="1"/>
        <w:jc w:val="both"/>
        <w:rPr>
          <w:rFonts w:ascii="Century Gothic" w:hAnsi="Century Gothic"/>
          <w:b/>
          <w:bCs/>
          <w:iCs/>
          <w:u w:val="single"/>
        </w:rPr>
      </w:pPr>
      <w:r w:rsidRPr="007F489F">
        <w:rPr>
          <w:rFonts w:ascii="Century Gothic" w:hAnsi="Century Gothic"/>
          <w:b/>
          <w:bCs/>
          <w:iCs/>
          <w:u w:val="single"/>
        </w:rPr>
        <w:t>8. DAS IMPUGNAÇÕES AOS PREÇOS REGISTRADOS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8.1.1. Ser protocolizada no Departamento de Licitações do Município de Santo Antônio do Grama, Estado de Minas Gerais.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a) o Município de Santo Antônio do Grama, Estado de Minas Gerais não se responsabilizará por impugnações endereçadas via postal ou por outras formas entregues em locais diversos </w:t>
      </w:r>
      <w:r w:rsidRPr="007F489F">
        <w:rPr>
          <w:rFonts w:ascii="Century Gothic" w:hAnsi="Century Gothic"/>
        </w:rPr>
        <w:lastRenderedPageBreak/>
        <w:t>do mencionado no item acima e que, por isso, não sejam protocolizadas na vigência da Ata de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a decisão do Departamento de Licitação Município de Santo Antônio do Grama, Estado de Minas Gerais será enviada ao impugnante via fac-símile ou correio eletrônico.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8.1.3. Conter o número da Ata de Registro de Preços a qual se refere, com a descrição do objeto e a identificação do(s) item(s) cujo(s) preço(s) esteja(m) sendo impugnado(s);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8.1.4. Conter o nome completo, a qualificação, cópia do documento de identidade e do Cadastro de Pessoa Física e o endereço do impugnante;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8.1.5. Conter provas da incompatibilidade do preço impugnado, por meio de pesquisa atualizada do mercado. </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8. CONDIÇÕES GERAIS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8.2 - Fica eleito o Foro da Comarca de Manhuaçu, com exclusão de qualquer outro, por mais privilegiado que seja, para dirimir quaisquer questões oriundas deste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por estarem de acordo, lavrou-se o presente termo, em 03 (três) vias de igual teor e forma, as quais foram lidas e assinadas pelas partes interessadas.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Santo Antônio do Grama, xxx de xxxx de 20---.</w:t>
      </w:r>
    </w:p>
    <w:p w:rsidR="0030239D" w:rsidRPr="007F489F" w:rsidRDefault="0030239D" w:rsidP="0030239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5240"/>
        <w:gridCol w:w="3537"/>
      </w:tblGrid>
      <w:tr w:rsidR="0030239D" w:rsidRPr="007F489F" w:rsidTr="00CA6F97">
        <w:tc>
          <w:tcPr>
            <w:tcW w:w="5240" w:type="dxa"/>
            <w:shd w:val="clear" w:color="auto" w:fill="auto"/>
          </w:tcPr>
          <w:p w:rsidR="0030239D" w:rsidRPr="007F489F" w:rsidRDefault="0030239D" w:rsidP="00CA6F97">
            <w:pPr>
              <w:jc w:val="both"/>
              <w:rPr>
                <w:rFonts w:ascii="Century Gothic" w:hAnsi="Century Gothic"/>
              </w:rPr>
            </w:pPr>
            <w:r w:rsidRPr="007F489F">
              <w:rPr>
                <w:rFonts w:ascii="Century Gothic" w:hAnsi="Century Gothic"/>
              </w:rPr>
              <w:t>MUNICÍPIO DE SANTO ANTONIO DO GRAMA</w:t>
            </w:r>
          </w:p>
          <w:p w:rsidR="0030239D" w:rsidRPr="007F489F" w:rsidRDefault="0030239D" w:rsidP="00CA6F97">
            <w:pPr>
              <w:jc w:val="both"/>
              <w:rPr>
                <w:rFonts w:ascii="Century Gothic" w:hAnsi="Century Gothic"/>
              </w:rPr>
            </w:pPr>
            <w:r w:rsidRPr="007F489F">
              <w:rPr>
                <w:rFonts w:ascii="Century Gothic" w:hAnsi="Century Gothic"/>
              </w:rPr>
              <w:t>CONTRATANTE</w:t>
            </w:r>
          </w:p>
        </w:tc>
        <w:tc>
          <w:tcPr>
            <w:tcW w:w="3537" w:type="dxa"/>
            <w:shd w:val="clear" w:color="auto" w:fill="auto"/>
          </w:tcPr>
          <w:p w:rsidR="0030239D" w:rsidRPr="007F489F" w:rsidRDefault="0030239D" w:rsidP="00CA6F97">
            <w:pPr>
              <w:jc w:val="both"/>
              <w:rPr>
                <w:rFonts w:ascii="Century Gothic" w:hAnsi="Century Gothic"/>
              </w:rPr>
            </w:pPr>
          </w:p>
          <w:p w:rsidR="0030239D" w:rsidRPr="007F489F" w:rsidRDefault="0030239D" w:rsidP="00CA6F97">
            <w:pPr>
              <w:jc w:val="both"/>
              <w:rPr>
                <w:rFonts w:ascii="Century Gothic" w:hAnsi="Century Gothic"/>
              </w:rPr>
            </w:pPr>
            <w:r w:rsidRPr="007F489F">
              <w:rPr>
                <w:rFonts w:ascii="Century Gothic" w:hAnsi="Century Gothic"/>
              </w:rPr>
              <w:t>CONTRATADO</w:t>
            </w:r>
          </w:p>
        </w:tc>
      </w:tr>
    </w:tbl>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rPr>
      </w:pPr>
      <w:r w:rsidRPr="007F489F">
        <w:rPr>
          <w:rFonts w:ascii="Century Gothic" w:hAnsi="Century Gothic"/>
        </w:rPr>
        <w:t>Testemunhas:</w:t>
      </w:r>
    </w:p>
    <w:p w:rsidR="0030239D" w:rsidRPr="007F489F" w:rsidRDefault="0030239D" w:rsidP="0030239D">
      <w:pPr>
        <w:jc w:val="both"/>
        <w:rPr>
          <w:rFonts w:ascii="Century Gothic" w:hAnsi="Century Gothic"/>
        </w:rPr>
      </w:pPr>
    </w:p>
    <w:p w:rsidR="0030239D" w:rsidRPr="007F489F" w:rsidRDefault="0030239D" w:rsidP="0030239D">
      <w:pPr>
        <w:jc w:val="both"/>
        <w:rPr>
          <w:rFonts w:ascii="Century Gothic" w:hAnsi="Century Gothic"/>
        </w:rPr>
      </w:pPr>
    </w:p>
    <w:p w:rsidR="0030239D" w:rsidRPr="007F489F" w:rsidRDefault="0030239D" w:rsidP="0030239D">
      <w:pPr>
        <w:jc w:val="both"/>
        <w:rPr>
          <w:rFonts w:ascii="Century Gothic" w:hAnsi="Century Gothic"/>
        </w:rPr>
      </w:pPr>
      <w:r w:rsidRPr="007F489F">
        <w:rPr>
          <w:rFonts w:ascii="Century Gothic" w:hAnsi="Century Gothic"/>
        </w:rPr>
        <w:t xml:space="preserve">Nome:                                             </w:t>
      </w:r>
      <w:r w:rsidRPr="007F489F">
        <w:rPr>
          <w:rFonts w:ascii="Century Gothic" w:hAnsi="Century Gothic"/>
        </w:rPr>
        <w:tab/>
      </w:r>
      <w:r w:rsidRPr="007F489F">
        <w:rPr>
          <w:rFonts w:ascii="Century Gothic" w:hAnsi="Century Gothic"/>
        </w:rPr>
        <w:tab/>
        <w:t xml:space="preserve">          </w:t>
      </w:r>
      <w:r w:rsidRPr="007F489F">
        <w:rPr>
          <w:rFonts w:ascii="Century Gothic" w:hAnsi="Century Gothic"/>
        </w:rPr>
        <w:tab/>
        <w:t xml:space="preserve">             Nome:</w:t>
      </w:r>
    </w:p>
    <w:p w:rsidR="0030239D" w:rsidRPr="007F489F" w:rsidRDefault="0030239D" w:rsidP="0030239D">
      <w:pPr>
        <w:jc w:val="both"/>
        <w:rPr>
          <w:rFonts w:ascii="Century Gothic" w:hAnsi="Century Gothic"/>
        </w:rPr>
      </w:pPr>
      <w:r w:rsidRPr="007F489F">
        <w:rPr>
          <w:rFonts w:ascii="Century Gothic" w:hAnsi="Century Gothic"/>
        </w:rPr>
        <w:t xml:space="preserve">CPF/MF:                         </w:t>
      </w:r>
      <w:r w:rsidRPr="007F489F">
        <w:rPr>
          <w:rFonts w:ascii="Century Gothic" w:hAnsi="Century Gothic"/>
        </w:rPr>
        <w:tab/>
      </w:r>
      <w:r w:rsidRPr="007F489F">
        <w:rPr>
          <w:rFonts w:ascii="Century Gothic" w:hAnsi="Century Gothic"/>
        </w:rPr>
        <w:tab/>
      </w:r>
      <w:r w:rsidRPr="007F489F">
        <w:rPr>
          <w:rFonts w:ascii="Century Gothic" w:hAnsi="Century Gothic"/>
        </w:rPr>
        <w:tab/>
        <w:t xml:space="preserve">           </w:t>
      </w:r>
      <w:r w:rsidRPr="007F489F">
        <w:rPr>
          <w:rFonts w:ascii="Century Gothic" w:hAnsi="Century Gothic"/>
        </w:rPr>
        <w:tab/>
      </w:r>
      <w:r w:rsidRPr="007F489F">
        <w:rPr>
          <w:rFonts w:ascii="Century Gothic" w:hAnsi="Century Gothic"/>
        </w:rPr>
        <w:tab/>
        <w:t xml:space="preserve">CPF/MF: </w:t>
      </w: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ANEXO III</w:t>
      </w:r>
    </w:p>
    <w:p w:rsidR="0030239D" w:rsidRPr="007F489F" w:rsidRDefault="0030239D" w:rsidP="0030239D">
      <w:pPr>
        <w:spacing w:before="100" w:beforeAutospacing="1" w:after="100" w:afterAutospacing="1"/>
        <w:jc w:val="both"/>
        <w:rPr>
          <w:rFonts w:ascii="Century Gothic" w:hAnsi="Century Gothic"/>
          <w:b/>
          <w:bCs/>
        </w:rPr>
      </w:pP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30239D" w:rsidRPr="007F489F" w:rsidTr="00CA6F97">
        <w:tc>
          <w:tcPr>
            <w:tcW w:w="3949" w:type="dxa"/>
            <w:gridSpan w:val="4"/>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PROCESSO DE LICITAÇÃO SOB Nº ___</w:t>
            </w:r>
          </w:p>
          <w:p w:rsidR="0030239D" w:rsidRPr="007F489F" w:rsidRDefault="0030239D" w:rsidP="00CA6F97">
            <w:pPr>
              <w:jc w:val="both"/>
              <w:rPr>
                <w:rFonts w:ascii="Century Gothic" w:hAnsi="Century Gothic"/>
              </w:rPr>
            </w:pPr>
          </w:p>
        </w:tc>
      </w:tr>
      <w:tr w:rsidR="0030239D" w:rsidRPr="007F489F" w:rsidTr="00CA6F9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lastRenderedPageBreak/>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CNPJ:</w:t>
            </w:r>
          </w:p>
          <w:p w:rsidR="0030239D" w:rsidRPr="007F489F" w:rsidRDefault="0030239D" w:rsidP="00CA6F97">
            <w:pPr>
              <w:jc w:val="both"/>
              <w:rPr>
                <w:rFonts w:ascii="Century Gothic" w:hAnsi="Century Gothic"/>
              </w:rPr>
            </w:pPr>
          </w:p>
        </w:tc>
      </w:tr>
      <w:tr w:rsidR="0030239D" w:rsidRPr="007F489F" w:rsidTr="00CA6F9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FONE:</w:t>
            </w:r>
          </w:p>
          <w:p w:rsidR="0030239D" w:rsidRPr="007F489F" w:rsidRDefault="0030239D" w:rsidP="00CA6F97">
            <w:pPr>
              <w:jc w:val="both"/>
              <w:rPr>
                <w:rFonts w:ascii="Century Gothic" w:hAnsi="Century Gothic"/>
              </w:rPr>
            </w:pPr>
          </w:p>
        </w:tc>
      </w:tr>
      <w:tr w:rsidR="0030239D" w:rsidRPr="007F489F" w:rsidTr="00CA6F9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r w:rsidRPr="007F489F">
              <w:rPr>
                <w:rFonts w:ascii="Century Gothic" w:hAnsi="Century Gothic"/>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Qtde</w:t>
            </w:r>
          </w:p>
        </w:tc>
        <w:tc>
          <w:tcPr>
            <w:tcW w:w="827"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r w:rsidRPr="007F489F">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Preço Total R$</w:t>
            </w:r>
          </w:p>
        </w:tc>
      </w:tr>
      <w:tr w:rsidR="0030239D" w:rsidRPr="007F489F" w:rsidTr="00CA6F9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r w:rsidRPr="007F489F">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r w:rsidRPr="007F489F">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
        </w:tc>
      </w:tr>
      <w:tr w:rsidR="0030239D" w:rsidRPr="007F489F" w:rsidTr="00CA6F9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 xml:space="preserve">TOTAL-------------------------------------------------------------------------------------------------R$ </w:t>
            </w:r>
          </w:p>
        </w:tc>
      </w:tr>
      <w:tr w:rsidR="0030239D" w:rsidRPr="007F489F"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VALIDADE DA PROPOSTA: Sessenta (60) dias, contados data do certame.</w:t>
            </w:r>
          </w:p>
        </w:tc>
      </w:tr>
      <w:tr w:rsidR="0030239D" w:rsidRPr="007F489F"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CONDIÇÕES DE PAGAMENTO: Conforme descrito no Edital.</w:t>
            </w:r>
          </w:p>
        </w:tc>
      </w:tr>
      <w:tr w:rsidR="0030239D" w:rsidRPr="007F489F"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 xml:space="preserve">DECLARAÇÃO: </w:t>
            </w:r>
          </w:p>
          <w:p w:rsidR="0030239D" w:rsidRPr="007F489F" w:rsidRDefault="0030239D" w:rsidP="0030239D">
            <w:pPr>
              <w:pStyle w:val="PargrafodaLista"/>
              <w:numPr>
                <w:ilvl w:val="0"/>
                <w:numId w:val="31"/>
              </w:numPr>
              <w:jc w:val="both"/>
              <w:rPr>
                <w:rFonts w:ascii="Century Gothic" w:hAnsi="Century Gothic"/>
              </w:rPr>
            </w:pPr>
            <w:r w:rsidRPr="007F489F">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30239D" w:rsidRPr="007F489F" w:rsidRDefault="0030239D" w:rsidP="0030239D">
            <w:pPr>
              <w:pStyle w:val="PargrafodaLista"/>
              <w:numPr>
                <w:ilvl w:val="0"/>
                <w:numId w:val="31"/>
              </w:numPr>
              <w:jc w:val="both"/>
              <w:rPr>
                <w:rFonts w:ascii="Century Gothic" w:hAnsi="Century Gothic"/>
              </w:rPr>
            </w:pPr>
            <w:r w:rsidRPr="007F489F">
              <w:rPr>
                <w:rFonts w:ascii="Century Gothic" w:hAnsi="Century Gothic"/>
              </w:rPr>
              <w:t>Declaro (amos) para os devidos fins e efeitos legais que esta proponente apresenta a presente proposta em total observação ao disposto no Edital Convocatório.</w:t>
            </w:r>
          </w:p>
          <w:p w:rsidR="0030239D" w:rsidRPr="007F489F" w:rsidRDefault="0030239D" w:rsidP="0030239D">
            <w:pPr>
              <w:pStyle w:val="PargrafodaLista"/>
              <w:numPr>
                <w:ilvl w:val="0"/>
                <w:numId w:val="31"/>
              </w:numPr>
              <w:jc w:val="both"/>
              <w:rPr>
                <w:rFonts w:ascii="Century Gothic" w:hAnsi="Century Gothic"/>
              </w:rPr>
            </w:pPr>
            <w:r w:rsidRPr="007F489F">
              <w:rPr>
                <w:rFonts w:ascii="Century Gothic" w:hAnsi="Century Gothic"/>
              </w:rPr>
              <w:t>Declaro (amos) para os devidos fins e efeitos legais que esta proponente esta apta ao atendimento proposto no Edital Convocatório.</w:t>
            </w:r>
          </w:p>
        </w:tc>
      </w:tr>
      <w:tr w:rsidR="0030239D" w:rsidRPr="007F489F" w:rsidTr="00CA6F9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p>
          <w:p w:rsidR="0030239D" w:rsidRPr="007F489F" w:rsidRDefault="0030239D" w:rsidP="00CA6F97">
            <w:pPr>
              <w:jc w:val="both"/>
              <w:rPr>
                <w:rFonts w:ascii="Century Gothic" w:hAnsi="Century Gothic"/>
              </w:rPr>
            </w:pPr>
          </w:p>
          <w:p w:rsidR="0030239D" w:rsidRPr="007F489F" w:rsidRDefault="0030239D" w:rsidP="00CA6F97">
            <w:pPr>
              <w:jc w:val="both"/>
              <w:rPr>
                <w:rFonts w:ascii="Century Gothic" w:hAnsi="Century Gothic"/>
              </w:rPr>
            </w:pPr>
            <w:r w:rsidRPr="007F489F">
              <w:rPr>
                <w:rFonts w:ascii="Century Gothic" w:hAnsi="Century Gothic"/>
              </w:rPr>
              <w:t xml:space="preserve"> ___________________________, __________d</w:t>
            </w:r>
            <w:r w:rsidR="00CA6F97" w:rsidRPr="007F489F">
              <w:rPr>
                <w:rFonts w:ascii="Century Gothic" w:hAnsi="Century Gothic"/>
              </w:rPr>
              <w:t>e _______________________de 2023</w:t>
            </w:r>
            <w:r w:rsidRPr="007F489F">
              <w:rPr>
                <w:rFonts w:ascii="Century Gothic" w:hAnsi="Century Gothic"/>
              </w:rPr>
              <w:t>.</w:t>
            </w:r>
          </w:p>
          <w:p w:rsidR="0030239D" w:rsidRPr="007F489F" w:rsidRDefault="0030239D" w:rsidP="00CA6F97">
            <w:pPr>
              <w:jc w:val="both"/>
              <w:rPr>
                <w:rFonts w:ascii="Century Gothic" w:hAnsi="Century Gothic"/>
              </w:rPr>
            </w:pPr>
            <w:r w:rsidRPr="007F489F">
              <w:rPr>
                <w:rFonts w:ascii="Century Gothic" w:hAnsi="Century Gothic"/>
              </w:rPr>
              <w:t xml:space="preserve">                    (Local)                                                                           (Data)</w:t>
            </w:r>
          </w:p>
          <w:p w:rsidR="0030239D" w:rsidRPr="007F489F" w:rsidRDefault="0030239D" w:rsidP="00CA6F97">
            <w:pPr>
              <w:jc w:val="both"/>
              <w:rPr>
                <w:rFonts w:ascii="Century Gothic" w:hAnsi="Century Gothic"/>
              </w:rPr>
            </w:pPr>
            <w:r w:rsidRPr="007F489F">
              <w:rPr>
                <w:rFonts w:ascii="Century Gothic" w:hAnsi="Century Gothic"/>
              </w:rPr>
              <w:t xml:space="preserve">   </w:t>
            </w:r>
          </w:p>
          <w:p w:rsidR="0030239D" w:rsidRPr="007F489F" w:rsidRDefault="0030239D" w:rsidP="00CA6F97">
            <w:pPr>
              <w:jc w:val="both"/>
              <w:rPr>
                <w:rFonts w:ascii="Century Gothic" w:hAnsi="Century Gothic"/>
              </w:rPr>
            </w:pPr>
            <w:r w:rsidRPr="007F489F">
              <w:rPr>
                <w:rFonts w:ascii="Century Gothic" w:hAnsi="Century Gothic"/>
              </w:rPr>
              <w:t>____________________________________</w:t>
            </w:r>
          </w:p>
          <w:p w:rsidR="0030239D" w:rsidRPr="007F489F" w:rsidRDefault="0030239D" w:rsidP="00CA6F97">
            <w:pPr>
              <w:jc w:val="both"/>
              <w:rPr>
                <w:rFonts w:ascii="Century Gothic" w:hAnsi="Century Gothic"/>
              </w:rPr>
            </w:pPr>
            <w:r w:rsidRPr="007F489F">
              <w:rPr>
                <w:rFonts w:ascii="Century Gothic" w:hAnsi="Century Gothic"/>
              </w:rPr>
              <w:t xml:space="preserve">    Diretor ou Representante Legal</w:t>
            </w:r>
          </w:p>
          <w:p w:rsidR="0030239D" w:rsidRPr="007F489F" w:rsidRDefault="0030239D" w:rsidP="00CA6F97">
            <w:pPr>
              <w:jc w:val="both"/>
              <w:rPr>
                <w:rFonts w:ascii="Century Gothic" w:hAnsi="Century Gothic"/>
              </w:rPr>
            </w:pPr>
            <w:r w:rsidRPr="007F489F">
              <w:rPr>
                <w:rFonts w:ascii="Century Gothic" w:hAnsi="Century Gothic"/>
              </w:rPr>
              <w:t xml:space="preserve">    Nome:</w:t>
            </w:r>
          </w:p>
          <w:p w:rsidR="0030239D" w:rsidRPr="007F489F" w:rsidRDefault="0030239D" w:rsidP="00CA6F97">
            <w:pPr>
              <w:jc w:val="both"/>
              <w:rPr>
                <w:rFonts w:ascii="Century Gothic" w:hAnsi="Century Gothic"/>
              </w:rPr>
            </w:pPr>
            <w:r w:rsidRPr="007F489F">
              <w:rPr>
                <w:rFonts w:ascii="Century Gothic" w:hAnsi="Century Gothic"/>
              </w:rPr>
              <w:t xml:space="preserve">    CI-RG:</w:t>
            </w:r>
          </w:p>
          <w:p w:rsidR="0030239D" w:rsidRPr="007F489F" w:rsidRDefault="0030239D" w:rsidP="00CA6F97">
            <w:pPr>
              <w:jc w:val="both"/>
              <w:rPr>
                <w:rFonts w:ascii="Century Gothic" w:hAnsi="Century Gothic"/>
              </w:rPr>
            </w:pPr>
            <w:r w:rsidRPr="007F489F">
              <w:rPr>
                <w:rFonts w:ascii="Century Gothic" w:hAnsi="Century Gothic"/>
              </w:rPr>
              <w:t xml:space="preserve">   CPF/MF:</w:t>
            </w:r>
          </w:p>
        </w:tc>
      </w:tr>
    </w:tbl>
    <w:p w:rsidR="0030239D" w:rsidRPr="007F489F" w:rsidRDefault="0030239D" w:rsidP="0030239D">
      <w:pPr>
        <w:jc w:val="both"/>
        <w:rPr>
          <w:rFonts w:ascii="Century Gothic" w:hAnsi="Century Gothic"/>
        </w:rPr>
      </w:pPr>
    </w:p>
    <w:p w:rsidR="0030239D" w:rsidRPr="007F489F" w:rsidRDefault="0030239D" w:rsidP="0030239D">
      <w:pPr>
        <w:pStyle w:val="PargrafodaLista"/>
        <w:numPr>
          <w:ilvl w:val="0"/>
          <w:numId w:val="38"/>
        </w:numPr>
        <w:jc w:val="both"/>
        <w:rPr>
          <w:rFonts w:ascii="Century Gothic" w:hAnsi="Century Gothic"/>
        </w:rPr>
      </w:pPr>
      <w:r w:rsidRPr="007F489F">
        <w:rPr>
          <w:rFonts w:ascii="Century Gothic" w:hAnsi="Century Gothic"/>
        </w:rPr>
        <w:t>O participante deverá trazer a proposta física também em mídia (Pen drive e CD).</w:t>
      </w:r>
    </w:p>
    <w:p w:rsidR="0030239D" w:rsidRPr="007F489F" w:rsidRDefault="0030239D" w:rsidP="0030239D">
      <w:pPr>
        <w:pStyle w:val="PargrafodaLista"/>
        <w:numPr>
          <w:ilvl w:val="0"/>
          <w:numId w:val="38"/>
        </w:numPr>
        <w:jc w:val="both"/>
        <w:rPr>
          <w:rFonts w:ascii="Century Gothic" w:hAnsi="Century Gothic"/>
        </w:rPr>
      </w:pPr>
      <w:r w:rsidRPr="007F489F">
        <w:rPr>
          <w:rFonts w:ascii="Century Gothic" w:hAnsi="Century Gothic"/>
        </w:rPr>
        <w:t xml:space="preserve">O arquivo poderá ser solicitado através do endereço eletrônico: </w:t>
      </w:r>
      <w:hyperlink r:id="rId13" w:history="1">
        <w:r w:rsidRPr="007F489F">
          <w:rPr>
            <w:rStyle w:val="Hyperlink"/>
            <w:rFonts w:ascii="Century Gothic" w:hAnsi="Century Gothic"/>
          </w:rPr>
          <w:t>compraselicitacaograma@gmail.com</w:t>
        </w:r>
      </w:hyperlink>
    </w:p>
    <w:p w:rsidR="0030239D" w:rsidRPr="007F489F" w:rsidRDefault="0030239D" w:rsidP="0030239D">
      <w:pPr>
        <w:pStyle w:val="PargrafodaLista"/>
        <w:numPr>
          <w:ilvl w:val="0"/>
          <w:numId w:val="38"/>
        </w:numPr>
        <w:spacing w:before="100" w:beforeAutospacing="1" w:after="100" w:afterAutospacing="1"/>
        <w:jc w:val="both"/>
        <w:rPr>
          <w:rFonts w:ascii="Century Gothic" w:hAnsi="Century Gothic"/>
        </w:rPr>
      </w:pPr>
      <w:r w:rsidRPr="007F489F">
        <w:rPr>
          <w:rFonts w:ascii="Century Gothic" w:hAnsi="Century Gothic"/>
        </w:rPr>
        <w:t>Esta medida visa agilizar o processo na hora da sessão pública.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ANEXO IV</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 xml:space="preserve">DECLARAÇÕES: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empresa _________________________________________________, CNPJ/MF N</w:t>
      </w:r>
      <w:r w:rsidRPr="007F489F">
        <w:rPr>
          <w:rFonts w:ascii="Arial" w:hAnsi="Arial" w:cs="Arial"/>
        </w:rPr>
        <w:t>٥</w:t>
      </w:r>
      <w:r w:rsidRPr="007F489F">
        <w:rPr>
          <w:rFonts w:ascii="Century Gothic" w:hAnsi="Century Gothic"/>
        </w:rPr>
        <w:t>_____________________________________, sediada na Rua ____________, DECLARA: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7 - DE CONHECIMENTO DO INSTRUMENTO CONVOCATÓRIO: ter recebido todos os documentos e informações, conhecer e acatar as condições para o cumprimento das obrigações objeto da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9 - NÃO IMPEDIMENTO: que não se encontra em nenhuma das situações do § 4º, art. 3º, da Lei Complementar nº 123/2006, incluído pela Lei Complementar nº 147/2014. (se for o caso).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10 -Declara, para fins cumprimento do disposto no art. 9º, inciso III da Lei Federal 8.666/93, que nenhum sócio, gerente ou dirigente desta Empresa é servidor público do Município de Santo Antônio do Grama.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12 - Declara, sob as penas da Lei, em especial o Art. 299 do Código Penal Brasileiro que: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sym w:font="Symbol" w:char="F0F0"/>
      </w:r>
      <w:r w:rsidRPr="007F489F">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13 - DECLARA, que não possui em seu quadro, na função de diretor, assessor, conselheiro ou similares, servidores do Município de Santo Antônio do Grama, na forma da Lei Orgânica Municipal.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Local e Data: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______________________________________________</w:t>
      </w: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jc w:val="both"/>
        <w:rPr>
          <w:rFonts w:ascii="Century Gothic" w:hAnsi="Century Gothic"/>
        </w:rPr>
      </w:pPr>
      <w:r w:rsidRPr="007F489F">
        <w:rPr>
          <w:rFonts w:ascii="Century Gothic" w:hAnsi="Century Gothic"/>
        </w:rPr>
        <w:t>ANEXO V</w:t>
      </w:r>
    </w:p>
    <w:p w:rsidR="0030239D" w:rsidRPr="007F489F" w:rsidRDefault="0030239D" w:rsidP="0030239D">
      <w:pPr>
        <w:jc w:val="both"/>
        <w:rPr>
          <w:rFonts w:ascii="Century Gothic" w:hAnsi="Century Gothic"/>
        </w:rPr>
      </w:pPr>
      <w:r w:rsidRPr="007F489F">
        <w:rPr>
          <w:rFonts w:ascii="Century Gothic" w:hAnsi="Century Gothic"/>
        </w:rPr>
        <w:t>EXIGÊNCIAS PARA HABILITAÇÃO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30239D" w:rsidRPr="007F489F" w:rsidRDefault="0030239D" w:rsidP="0030239D">
      <w:pPr>
        <w:numPr>
          <w:ilvl w:val="0"/>
          <w:numId w:val="32"/>
        </w:numPr>
        <w:spacing w:after="120"/>
        <w:jc w:val="both"/>
        <w:rPr>
          <w:rFonts w:ascii="Century Gothic" w:hAnsi="Century Gothic"/>
          <w:highlight w:val="lightGray"/>
          <w:u w:val="single"/>
          <w:shd w:val="clear" w:color="auto" w:fill="B3B3B3"/>
        </w:rPr>
      </w:pPr>
      <w:r w:rsidRPr="007F489F">
        <w:rPr>
          <w:rFonts w:ascii="Century Gothic" w:hAnsi="Century Gothic"/>
          <w:highlight w:val="lightGray"/>
          <w:u w:val="single"/>
          <w:shd w:val="clear" w:color="auto" w:fill="B3B3B3"/>
        </w:rPr>
        <w:lastRenderedPageBreak/>
        <w:t>DA HABILITAÇÃO</w:t>
      </w:r>
    </w:p>
    <w:p w:rsidR="0030239D" w:rsidRPr="003F7C2E" w:rsidRDefault="0030239D" w:rsidP="0030239D">
      <w:pPr>
        <w:numPr>
          <w:ilvl w:val="1"/>
          <w:numId w:val="32"/>
        </w:numPr>
        <w:spacing w:after="120"/>
        <w:jc w:val="both"/>
        <w:rPr>
          <w:rFonts w:ascii="Century Gothic" w:hAnsi="Century Gothic"/>
          <w:sz w:val="22"/>
          <w:szCs w:val="22"/>
        </w:rPr>
      </w:pPr>
      <w:r w:rsidRPr="007F489F">
        <w:rPr>
          <w:rFonts w:ascii="Century Gothic" w:hAnsi="Century Gothic"/>
          <w:lang w:eastAsia="ar-SA"/>
        </w:rPr>
        <w:t>Como condição prévia ao exame da documentação de habilitação</w:t>
      </w:r>
      <w:r w:rsidRPr="007F489F">
        <w:rPr>
          <w:rFonts w:ascii="Century Gothic" w:hAnsi="Century Gothic"/>
        </w:rPr>
        <w:t xml:space="preserve"> do licitante detentor da proposta classificada em primeiro lugar</w:t>
      </w:r>
      <w:r w:rsidRPr="007F489F">
        <w:rPr>
          <w:rFonts w:ascii="Century Gothic" w:hAnsi="Century Gothic"/>
          <w:lang w:eastAsia="ar-SA"/>
        </w:rPr>
        <w:t xml:space="preserve">, </w:t>
      </w:r>
      <w:r w:rsidRPr="007F489F">
        <w:rPr>
          <w:rFonts w:ascii="Century Gothic" w:hAnsi="Century Gothic"/>
        </w:rPr>
        <w:t xml:space="preserve">o(a) Pregoeiro(a) </w:t>
      </w:r>
      <w:r w:rsidRPr="007F489F">
        <w:rPr>
          <w:rFonts w:ascii="Century Gothic" w:hAnsi="Century Gothic"/>
          <w:lang w:eastAsia="ar-SA"/>
        </w:rPr>
        <w:t>verificará o eventual descumprimento das condições de participação, especialmente quanto à</w:t>
      </w:r>
      <w:r w:rsidRPr="007F489F">
        <w:rPr>
          <w:rFonts w:ascii="Century Gothic" w:hAnsi="Century Gothic"/>
        </w:rPr>
        <w:t xml:space="preserve"> existência de sanção que impeça a participação no certame ou a futura contratação, mediante a </w:t>
      </w:r>
      <w:r w:rsidRPr="003F7C2E">
        <w:rPr>
          <w:rFonts w:ascii="Century Gothic" w:hAnsi="Century Gothic"/>
          <w:sz w:val="22"/>
          <w:szCs w:val="22"/>
        </w:rPr>
        <w:t>consulta aos seguintes cadastros:</w:t>
      </w:r>
    </w:p>
    <w:p w:rsidR="0030239D" w:rsidRPr="003F7C2E" w:rsidRDefault="0030239D" w:rsidP="0030239D">
      <w:pPr>
        <w:numPr>
          <w:ilvl w:val="0"/>
          <w:numId w:val="37"/>
        </w:numPr>
        <w:suppressAutoHyphens/>
        <w:spacing w:after="120"/>
        <w:jc w:val="both"/>
        <w:rPr>
          <w:rFonts w:ascii="Century Gothic" w:hAnsi="Century Gothic"/>
          <w:sz w:val="22"/>
          <w:szCs w:val="22"/>
        </w:rPr>
      </w:pPr>
      <w:r w:rsidRPr="003F7C2E">
        <w:rPr>
          <w:rFonts w:ascii="Century Gothic" w:hAnsi="Century Gothic"/>
          <w:sz w:val="22"/>
          <w:szCs w:val="22"/>
        </w:rPr>
        <w:t>CAF – Cadastro de Fornecedores do Município, (caso o município possua);</w:t>
      </w:r>
    </w:p>
    <w:p w:rsidR="0030239D" w:rsidRPr="003F7C2E" w:rsidRDefault="0030239D" w:rsidP="0030239D">
      <w:pPr>
        <w:numPr>
          <w:ilvl w:val="0"/>
          <w:numId w:val="37"/>
        </w:numPr>
        <w:suppressAutoHyphens/>
        <w:spacing w:after="120"/>
        <w:jc w:val="both"/>
        <w:rPr>
          <w:rFonts w:ascii="Century Gothic" w:hAnsi="Century Gothic"/>
          <w:sz w:val="22"/>
          <w:szCs w:val="22"/>
        </w:rPr>
      </w:pPr>
      <w:r w:rsidRPr="003F7C2E">
        <w:rPr>
          <w:rFonts w:ascii="Century Gothic" w:hAnsi="Century Gothic"/>
          <w:sz w:val="22"/>
          <w:szCs w:val="22"/>
        </w:rPr>
        <w:t>Cadastro Nacional de Empresas Inidôneas e Suspensas – CEIS, mantido pela Controladoria-Geral da União (</w:t>
      </w:r>
      <w:hyperlink r:id="rId14" w:history="1">
        <w:r w:rsidRPr="003F7C2E">
          <w:rPr>
            <w:rFonts w:ascii="Century Gothic" w:hAnsi="Century Gothic"/>
            <w:sz w:val="22"/>
            <w:szCs w:val="22"/>
            <w:u w:val="single"/>
          </w:rPr>
          <w:t>www.portaldatransparencia.gov.br/ceis</w:t>
        </w:r>
      </w:hyperlink>
      <w:r w:rsidRPr="003F7C2E">
        <w:rPr>
          <w:rFonts w:ascii="Century Gothic" w:hAnsi="Century Gothic"/>
          <w:sz w:val="22"/>
          <w:szCs w:val="22"/>
        </w:rPr>
        <w:t>);</w:t>
      </w:r>
    </w:p>
    <w:p w:rsidR="0030239D" w:rsidRPr="003F7C2E" w:rsidRDefault="0030239D" w:rsidP="0030239D">
      <w:pPr>
        <w:numPr>
          <w:ilvl w:val="0"/>
          <w:numId w:val="37"/>
        </w:numPr>
        <w:suppressAutoHyphens/>
        <w:spacing w:after="120"/>
        <w:jc w:val="both"/>
        <w:rPr>
          <w:rFonts w:ascii="Century Gothic" w:hAnsi="Century Gothic"/>
          <w:sz w:val="22"/>
          <w:szCs w:val="22"/>
        </w:rPr>
      </w:pPr>
      <w:r w:rsidRPr="003F7C2E">
        <w:rPr>
          <w:rFonts w:ascii="Century Gothic" w:hAnsi="Century Gothic"/>
          <w:bCs/>
          <w:sz w:val="22"/>
          <w:szCs w:val="22"/>
        </w:rPr>
        <w:t>Cadastro Nacional de Condenações Cíveis por Atos de Improbidade Administrativa, mantido pelo Conselho Nacional de Justiça</w:t>
      </w:r>
      <w:r w:rsidRPr="003F7C2E">
        <w:rPr>
          <w:rFonts w:ascii="Century Gothic" w:hAnsi="Century Gothic"/>
          <w:sz w:val="22"/>
          <w:szCs w:val="22"/>
        </w:rPr>
        <w:t xml:space="preserve"> (</w:t>
      </w:r>
      <w:hyperlink r:id="rId15" w:history="1">
        <w:r w:rsidRPr="003F7C2E">
          <w:rPr>
            <w:rFonts w:ascii="Century Gothic" w:hAnsi="Century Gothic"/>
            <w:sz w:val="22"/>
            <w:szCs w:val="22"/>
            <w:u w:val="single"/>
          </w:rPr>
          <w:t>www.</w:t>
        </w:r>
        <w:r w:rsidRPr="003F7C2E">
          <w:rPr>
            <w:rFonts w:ascii="Century Gothic" w:hAnsi="Century Gothic"/>
            <w:bCs/>
            <w:sz w:val="22"/>
            <w:szCs w:val="22"/>
            <w:u w:val="single"/>
          </w:rPr>
          <w:t>cnj</w:t>
        </w:r>
        <w:r w:rsidRPr="003F7C2E">
          <w:rPr>
            <w:rFonts w:ascii="Century Gothic" w:hAnsi="Century Gothic"/>
            <w:sz w:val="22"/>
            <w:szCs w:val="22"/>
            <w:u w:val="single"/>
          </w:rPr>
          <w:t>.jus.br/</w:t>
        </w:r>
        <w:r w:rsidRPr="003F7C2E">
          <w:rPr>
            <w:rFonts w:ascii="Century Gothic" w:hAnsi="Century Gothic"/>
            <w:bCs/>
            <w:sz w:val="22"/>
            <w:szCs w:val="22"/>
            <w:u w:val="single"/>
          </w:rPr>
          <w:t>improbidade</w:t>
        </w:r>
        <w:r w:rsidRPr="003F7C2E">
          <w:rPr>
            <w:rFonts w:ascii="Century Gothic" w:hAnsi="Century Gothic"/>
            <w:sz w:val="22"/>
            <w:szCs w:val="22"/>
            <w:u w:val="single"/>
          </w:rPr>
          <w:t>_adm/consultar_requerido.php</w:t>
        </w:r>
      </w:hyperlink>
      <w:r w:rsidRPr="003F7C2E">
        <w:rPr>
          <w:rFonts w:ascii="Century Gothic" w:hAnsi="Century Gothic"/>
          <w:sz w:val="22"/>
          <w:szCs w:val="22"/>
        </w:rPr>
        <w:t>).</w:t>
      </w:r>
    </w:p>
    <w:p w:rsidR="003F7C2E" w:rsidRPr="003F7C2E" w:rsidRDefault="003F7C2E" w:rsidP="003F7C2E">
      <w:pPr>
        <w:numPr>
          <w:ilvl w:val="0"/>
          <w:numId w:val="37"/>
        </w:numPr>
        <w:suppressAutoHyphens/>
        <w:spacing w:after="120"/>
        <w:jc w:val="both"/>
        <w:rPr>
          <w:rFonts w:ascii="Century Gothic" w:hAnsi="Century Gothic"/>
          <w:sz w:val="22"/>
          <w:szCs w:val="22"/>
        </w:rPr>
      </w:pPr>
      <w:r w:rsidRPr="003F7C2E">
        <w:rPr>
          <w:rFonts w:ascii="Century Gothic" w:hAnsi="Century Gothic"/>
          <w:bCs/>
          <w:sz w:val="22"/>
          <w:szCs w:val="22"/>
        </w:rPr>
        <w:t>Cadastro Nacional de Condenações Cíveis por Atos de Improbidade Administrativa, mantido pelo Conselho Nacional de Justiça</w:t>
      </w:r>
      <w:r w:rsidRPr="003F7C2E">
        <w:rPr>
          <w:rFonts w:ascii="Century Gothic" w:hAnsi="Century Gothic"/>
          <w:sz w:val="22"/>
          <w:szCs w:val="22"/>
        </w:rPr>
        <w:t xml:space="preserve"> (</w:t>
      </w:r>
      <w:hyperlink r:id="rId16" w:history="1">
        <w:r w:rsidRPr="003F7C2E">
          <w:rPr>
            <w:rFonts w:ascii="Century Gothic" w:hAnsi="Century Gothic"/>
            <w:sz w:val="22"/>
            <w:szCs w:val="22"/>
            <w:u w:val="single"/>
          </w:rPr>
          <w:t>www.</w:t>
        </w:r>
        <w:r w:rsidRPr="003F7C2E">
          <w:rPr>
            <w:rFonts w:ascii="Century Gothic" w:hAnsi="Century Gothic"/>
            <w:bCs/>
            <w:sz w:val="22"/>
            <w:szCs w:val="22"/>
            <w:u w:val="single"/>
          </w:rPr>
          <w:t>cnj</w:t>
        </w:r>
        <w:r w:rsidRPr="003F7C2E">
          <w:rPr>
            <w:rFonts w:ascii="Century Gothic" w:hAnsi="Century Gothic"/>
            <w:sz w:val="22"/>
            <w:szCs w:val="22"/>
            <w:u w:val="single"/>
          </w:rPr>
          <w:t>.jus.br/</w:t>
        </w:r>
        <w:r w:rsidRPr="003F7C2E">
          <w:rPr>
            <w:rFonts w:ascii="Century Gothic" w:hAnsi="Century Gothic"/>
            <w:bCs/>
            <w:sz w:val="22"/>
            <w:szCs w:val="22"/>
            <w:u w:val="single"/>
          </w:rPr>
          <w:t>improbidade</w:t>
        </w:r>
        <w:r w:rsidRPr="003F7C2E">
          <w:rPr>
            <w:rFonts w:ascii="Century Gothic" w:hAnsi="Century Gothic"/>
            <w:sz w:val="22"/>
            <w:szCs w:val="22"/>
            <w:u w:val="single"/>
          </w:rPr>
          <w:t>_adm/consultar_requerido.php</w:t>
        </w:r>
      </w:hyperlink>
      <w:r w:rsidRPr="003F7C2E">
        <w:rPr>
          <w:rFonts w:ascii="Century Gothic" w:hAnsi="Century Gothic"/>
          <w:sz w:val="22"/>
          <w:szCs w:val="22"/>
        </w:rPr>
        <w:t>).</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Constatada a existência de sanção, o(a) Pregoeiro(a) reputará o licitante inabilitado, por falta de condição de participação.</w:t>
      </w:r>
    </w:p>
    <w:p w:rsidR="0030239D" w:rsidRPr="007F489F" w:rsidRDefault="0030239D" w:rsidP="0030239D">
      <w:pPr>
        <w:numPr>
          <w:ilvl w:val="1"/>
          <w:numId w:val="32"/>
        </w:numPr>
        <w:suppressAutoHyphens/>
        <w:spacing w:after="120"/>
        <w:jc w:val="both"/>
        <w:rPr>
          <w:rFonts w:ascii="Century Gothic" w:hAnsi="Century Gothic"/>
        </w:rPr>
      </w:pPr>
      <w:r w:rsidRPr="007F489F">
        <w:rPr>
          <w:rFonts w:ascii="Century Gothic" w:hAnsi="Century Gothic"/>
          <w:lang w:eastAsia="ar-SA"/>
        </w:rPr>
        <w:t xml:space="preserve">Não ocorrendo inabilitação, a documentação de habilitação do </w:t>
      </w:r>
      <w:r w:rsidRPr="007F489F">
        <w:rPr>
          <w:rFonts w:ascii="Century Gothic" w:hAnsi="Century Gothic"/>
        </w:rPr>
        <w:t xml:space="preserve">licitante detentor da proposta classificada em primeiro lugar </w:t>
      </w:r>
      <w:r w:rsidRPr="007F489F">
        <w:rPr>
          <w:rFonts w:ascii="Century Gothic" w:hAnsi="Century Gothic"/>
          <w:lang w:eastAsia="ar-SA"/>
        </w:rPr>
        <w:t>será verificada</w:t>
      </w:r>
      <w:r w:rsidRPr="007F489F">
        <w:rPr>
          <w:rFonts w:ascii="Century Gothic" w:hAnsi="Century Gothic"/>
        </w:rPr>
        <w:t>.</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Os documentos poderão ser apresentados em original, em cópia autenticada por cartório competente ou por servidor da Administração, ou por meio de publicação em órgão da imprensa oficial.</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Para a habilitação, o licitante deverá apresentar os documentos a seguir relacionados:</w:t>
      </w:r>
    </w:p>
    <w:p w:rsidR="0030239D" w:rsidRPr="007F489F" w:rsidRDefault="0030239D" w:rsidP="0030239D">
      <w:pPr>
        <w:numPr>
          <w:ilvl w:val="2"/>
          <w:numId w:val="32"/>
        </w:numPr>
        <w:spacing w:after="120"/>
        <w:jc w:val="both"/>
        <w:rPr>
          <w:rFonts w:ascii="Century Gothic" w:hAnsi="Century Gothic"/>
          <w:u w:val="single"/>
        </w:rPr>
      </w:pPr>
      <w:r w:rsidRPr="007F489F">
        <w:rPr>
          <w:rFonts w:ascii="Century Gothic" w:hAnsi="Century Gothic"/>
          <w:u w:val="single"/>
        </w:rPr>
        <w:t>Relativos à Habilitação Jurídica:</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empresário individual: inscrição no Registro Público de Empresas Mercantis, a cargo da Junta Comercial da respectiva sede;</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7" w:history="1">
        <w:r w:rsidRPr="007F489F">
          <w:rPr>
            <w:rStyle w:val="Hyperlink"/>
            <w:rFonts w:ascii="Century Gothic" w:hAnsi="Century Gothic"/>
          </w:rPr>
          <w:t>www.portaldoempreendedor.gov.br</w:t>
        </w:r>
      </w:hyperlink>
      <w:r w:rsidRPr="007F489F">
        <w:rPr>
          <w:rFonts w:ascii="Century Gothic" w:hAnsi="Century Gothic"/>
        </w:rPr>
        <w:t xml:space="preserve">. </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239D" w:rsidRPr="007F489F" w:rsidRDefault="0030239D" w:rsidP="0030239D">
      <w:pPr>
        <w:numPr>
          <w:ilvl w:val="1"/>
          <w:numId w:val="33"/>
        </w:numPr>
        <w:spacing w:after="120"/>
        <w:jc w:val="both"/>
        <w:rPr>
          <w:rFonts w:ascii="Century Gothic" w:hAnsi="Century Gothic"/>
        </w:rPr>
      </w:pPr>
      <w:r w:rsidRPr="007F489F">
        <w:rPr>
          <w:rFonts w:ascii="Century Gothic" w:hAnsi="Century Gothic"/>
        </w:rPr>
        <w:t>Os documentos acima deverão estar acompanhados de todas as alterações ou da consolidação respectiva;</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sociedade simples: inscrição do ato constitutivo no Registro Civil das Pessoas Jurídicas do local de sua sede, acompanhada de prova da indicação dos seus administradores;</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lastRenderedPageBreak/>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produtor rural: matrícula no Cadastro Específico do INSS – CEI, que comprove a qualificação como produtor rural pessoa física, nos termos da Instrução Normativa RFB nº 971, de 2009 (arts. 17 a19 e 165);</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empresa ou sociedade estrangeira em funcionamento no País: decreto de autorização;</w:t>
      </w:r>
    </w:p>
    <w:p w:rsidR="0030239D" w:rsidRPr="007F489F" w:rsidRDefault="0030239D" w:rsidP="0030239D">
      <w:pPr>
        <w:numPr>
          <w:ilvl w:val="0"/>
          <w:numId w:val="33"/>
        </w:numPr>
        <w:spacing w:after="120"/>
        <w:jc w:val="both"/>
        <w:rPr>
          <w:rFonts w:ascii="Century Gothic" w:hAnsi="Century Gothic"/>
        </w:rPr>
      </w:pPr>
      <w:r w:rsidRPr="007F489F">
        <w:rPr>
          <w:rStyle w:val="markedcontent"/>
          <w:rFonts w:ascii="Century Gothic" w:hAnsi="Century Gothic"/>
        </w:rPr>
        <w:t>Cédula de identidade e CPF do proprietário e dos respectivos sócios se houver.</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u w:val="single"/>
        </w:rPr>
        <w:t>Relativos à Qualificação Técnica:</w:t>
      </w:r>
    </w:p>
    <w:p w:rsidR="0030239D" w:rsidRPr="007F489F" w:rsidRDefault="0030239D" w:rsidP="0030239D">
      <w:pPr>
        <w:numPr>
          <w:ilvl w:val="0"/>
          <w:numId w:val="34"/>
        </w:numPr>
        <w:spacing w:after="120"/>
        <w:jc w:val="both"/>
        <w:rPr>
          <w:rFonts w:ascii="Century Gothic" w:hAnsi="Century Gothic"/>
        </w:rPr>
      </w:pPr>
      <w:r w:rsidRPr="007F489F">
        <w:rPr>
          <w:rFonts w:ascii="Century Gothic" w:hAnsi="Century Gothic"/>
        </w:rPr>
        <w:t>Atestado de capacidade técnica emitido por órgãos públicos ou privados de ter o licitante realizado/prestado o fornecimento/serviços estabelecidos no objeto do edital convocatório.</w:t>
      </w:r>
    </w:p>
    <w:p w:rsidR="00560C71" w:rsidRPr="007F489F" w:rsidRDefault="00560C71" w:rsidP="0030239D">
      <w:pPr>
        <w:numPr>
          <w:ilvl w:val="0"/>
          <w:numId w:val="34"/>
        </w:numPr>
        <w:spacing w:after="120"/>
        <w:jc w:val="both"/>
        <w:rPr>
          <w:rFonts w:ascii="Century Gothic" w:hAnsi="Century Gothic"/>
        </w:rPr>
      </w:pPr>
      <w:r w:rsidRPr="007F489F">
        <w:rPr>
          <w:rFonts w:ascii="Century Gothic" w:hAnsi="Century Gothic" w:cs="Arial"/>
        </w:rPr>
        <w:t>Alvará Sanitário emitido pela Vigilância Estadual ou Municipal da sede do licitante;</w:t>
      </w:r>
    </w:p>
    <w:p w:rsidR="00560C71" w:rsidRPr="007F489F" w:rsidRDefault="00560C71" w:rsidP="00560C71">
      <w:pPr>
        <w:pStyle w:val="PargrafodaLista"/>
        <w:numPr>
          <w:ilvl w:val="0"/>
          <w:numId w:val="34"/>
        </w:numPr>
        <w:spacing w:line="276" w:lineRule="auto"/>
        <w:jc w:val="both"/>
        <w:rPr>
          <w:rFonts w:ascii="Century Gothic" w:hAnsi="Century Gothic" w:cs="Arial"/>
        </w:rPr>
      </w:pPr>
      <w:r w:rsidRPr="007F489F">
        <w:rPr>
          <w:rFonts w:ascii="Century Gothic" w:hAnsi="Century Gothic" w:cs="Arial"/>
        </w:rPr>
        <w:t>Certificado de responsabilidade técnica vigente, emitido pelo Conselho Federal de Farmácia.</w:t>
      </w:r>
    </w:p>
    <w:p w:rsidR="00560C71" w:rsidRPr="007F489F" w:rsidRDefault="00560C71" w:rsidP="00424015">
      <w:pPr>
        <w:spacing w:after="120"/>
        <w:ind w:left="1134"/>
        <w:jc w:val="both"/>
        <w:rPr>
          <w:rFonts w:ascii="Century Gothic" w:hAnsi="Century Gothic"/>
        </w:rPr>
      </w:pP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u w:val="single"/>
        </w:rPr>
        <w:t>Relativos à Regularidade Fiscal e Trabalhista:</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inscrição no Cadastro Nacional de Pessoas Jurídicas ou no Cadastro de Pessoas Físicas, conforme o caso;</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7F489F">
        <w:rPr>
          <w:rFonts w:ascii="Century Gothic" w:hAnsi="Century Gothic"/>
          <w:bCs/>
        </w:rPr>
        <w:t>;</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para com a Fazenda Estadual, do domicílio ou sede do licitante, pertinente ao seu ramo de atividade e compatível com o objeto contratual;</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para com a Fazenda Municipal, do domicílio ou sede do licitante, pertinente ao seu ramo de atividade e compatível com o objeto contratual</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relativa ao Fundo de Garantia do Tempo de Serviço (FGTS), mediante Certificado de Regularidade do FGTS</w:t>
      </w:r>
      <w:r w:rsidRPr="007F489F">
        <w:rPr>
          <w:rFonts w:ascii="Century Gothic" w:hAnsi="Century Gothic"/>
          <w:bCs/>
        </w:rPr>
        <w:t>;</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inexistência de débitos inadimplidos perante a Justiça do Trabalho, mediante Certidão Negativa de Débitos Trabalhistas (CNDT), ou certidão positiva com efeitos de negativa.</w:t>
      </w:r>
    </w:p>
    <w:p w:rsidR="0030239D" w:rsidRPr="007F489F" w:rsidRDefault="0030239D" w:rsidP="0030239D">
      <w:pPr>
        <w:numPr>
          <w:ilvl w:val="3"/>
          <w:numId w:val="32"/>
        </w:numPr>
        <w:spacing w:after="120"/>
        <w:ind w:left="1277"/>
        <w:jc w:val="both"/>
        <w:rPr>
          <w:rFonts w:ascii="Century Gothic" w:hAnsi="Century Gothic"/>
        </w:rPr>
      </w:pPr>
      <w:r w:rsidRPr="007F489F">
        <w:rPr>
          <w:rFonts w:ascii="Century Gothic" w:hAnsi="Century Gothic"/>
          <w:lang w:bidi="pt-BR"/>
        </w:rPr>
        <w:lastRenderedPageBreak/>
        <w:t>Caso o licitante seja microempresa ou empresa de pequeno porte, ou cooperativa enquadrada</w:t>
      </w:r>
      <w:r w:rsidRPr="007F489F">
        <w:rPr>
          <w:rFonts w:ascii="Century Gothic" w:hAnsi="Century Gothic"/>
        </w:rPr>
        <w:t xml:space="preserve"> no artigo 34 da Lei nº 11.488, de 2007,</w:t>
      </w:r>
      <w:r w:rsidRPr="007F489F">
        <w:rPr>
          <w:rFonts w:ascii="Century Gothic" w:hAnsi="Century Gothic"/>
          <w:lang w:bidi="pt-BR"/>
        </w:rPr>
        <w:t xml:space="preserve"> </w:t>
      </w:r>
      <w:r w:rsidRPr="007F489F">
        <w:rPr>
          <w:rFonts w:ascii="Century Gothic" w:hAnsi="Century Gothic"/>
        </w:rPr>
        <w:t>deverá apresentar toda a documentação exigida para efeito de comprovação de regularidade fiscal, mesmo que esta apresente alguma restrição, sob pena de ser inabilitado.</w:t>
      </w:r>
    </w:p>
    <w:p w:rsidR="0030239D" w:rsidRPr="007F489F" w:rsidRDefault="0030239D" w:rsidP="0030239D">
      <w:pPr>
        <w:numPr>
          <w:ilvl w:val="2"/>
          <w:numId w:val="32"/>
        </w:numPr>
        <w:spacing w:after="120"/>
        <w:jc w:val="both"/>
        <w:rPr>
          <w:rFonts w:ascii="Century Gothic" w:hAnsi="Century Gothic"/>
          <w:u w:val="single"/>
        </w:rPr>
      </w:pPr>
      <w:r w:rsidRPr="007F489F">
        <w:rPr>
          <w:rFonts w:ascii="Century Gothic" w:hAnsi="Century Gothic"/>
          <w:u w:val="single"/>
        </w:rPr>
        <w:t>Relativos à Qualificação Econômico-Financeira:</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7F489F">
        <w:rPr>
          <w:rFonts w:ascii="Century Gothic" w:hAnsi="Century Gothic"/>
          <w:b/>
        </w:rPr>
        <w:t>90 (noventa) dias</w:t>
      </w:r>
      <w:r w:rsidRPr="007F489F">
        <w:rPr>
          <w:rFonts w:ascii="Century Gothic" w:hAnsi="Century Gothic"/>
        </w:rPr>
        <w:t xml:space="preserve"> contados da data da sua apresentação;</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Comprovação da boa situação econômico-financeira da empresa mediante a aplicação das seguintes fórmulas e obtendo como resultado o valor de &gt;= 1,0, sendo o RESULTADO MÍNIMO: LG &gt;= 1,0 / SG &gt;= 1,0 / LC &gt;= 1,0.</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JUSTIFICATIVA (Lei 8666/93, art. 31, §1° e 5§)</w:t>
      </w:r>
    </w:p>
    <w:p w:rsidR="00861E48" w:rsidRPr="007F489F" w:rsidRDefault="00861E48" w:rsidP="0030239D">
      <w:pPr>
        <w:numPr>
          <w:ilvl w:val="0"/>
          <w:numId w:val="45"/>
        </w:numPr>
        <w:spacing w:after="120"/>
        <w:jc w:val="both"/>
        <w:rPr>
          <w:rFonts w:ascii="Century Gothic" w:hAnsi="Century Gothic"/>
        </w:rPr>
      </w:pPr>
      <w:r w:rsidRPr="007F489F">
        <w:rPr>
          <w:rStyle w:val="markedcontent"/>
          <w:rFonts w:ascii="Century Gothic" w:hAnsi="Century Gothic" w:cs="Arial"/>
          <w:b/>
        </w:rPr>
        <w:t>PARA OS MICROEMPREENDEDORES INDIVIDUAIS, MICROEMPRESAS E EMPRESAS DE PEQUENO PORTE NÃO SERÁ EXIGIDO BALANÇO PATRIMONIAL</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d1. Esclarecimentos:</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O índice de Solvência Geral (ISG) expressa o grau de garantia que a empresa dispõe em Ativos (totais), para pagamento do total de suas dívidas. Envolve além dos recursos líquidos, também os permanentes.</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ÍNDICES CONTÁBEIS - Situação - ILG, ISG e ILC &lt; (menor) que 1,00 a empresa é deficitária; 1,20 a 1,35 a empresa é equilibrada; (maior) que 1,35 a empresa é satisfatória.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A Administração tem que contratar com empresas que tenham possuem condições financeiras satisfatórias.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lastRenderedPageBreak/>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Ademais, os índices escolhidos foram democráticos, na medida em que estabelecem um “mínimo” de segurança na contratação.</w:t>
      </w:r>
    </w:p>
    <w:p w:rsidR="0030239D" w:rsidRPr="007F489F" w:rsidRDefault="0030239D" w:rsidP="0030239D">
      <w:pPr>
        <w:numPr>
          <w:ilvl w:val="2"/>
          <w:numId w:val="32"/>
        </w:numPr>
        <w:spacing w:after="120"/>
        <w:jc w:val="both"/>
        <w:rPr>
          <w:rFonts w:ascii="Century Gothic" w:hAnsi="Century Gothic"/>
          <w:u w:val="single"/>
        </w:rPr>
      </w:pPr>
      <w:r w:rsidRPr="007F489F">
        <w:rPr>
          <w:rFonts w:ascii="Century Gothic" w:hAnsi="Century Gothic"/>
          <w:u w:val="single"/>
        </w:rPr>
        <w:t>Documentos Complementares:</w:t>
      </w:r>
    </w:p>
    <w:p w:rsidR="0030239D" w:rsidRPr="007F489F" w:rsidRDefault="0030239D" w:rsidP="0030239D">
      <w:pPr>
        <w:numPr>
          <w:ilvl w:val="0"/>
          <w:numId w:val="36"/>
        </w:numPr>
        <w:spacing w:after="120"/>
        <w:jc w:val="both"/>
        <w:rPr>
          <w:rFonts w:ascii="Century Gothic" w:hAnsi="Century Gothic"/>
        </w:rPr>
      </w:pPr>
      <w:r w:rsidRPr="007F489F">
        <w:rPr>
          <w:rFonts w:ascii="Century Gothic" w:hAnsi="Century Gothic"/>
        </w:rPr>
        <w:t>Declaração, sob as penalidades cabíveis, da inexistência de fatos supervenientes impeditivos para a sua habilitação neste certame, conforme modelo anexo a este Edital;</w:t>
      </w:r>
    </w:p>
    <w:p w:rsidR="0030239D" w:rsidRPr="007F489F" w:rsidRDefault="0030239D" w:rsidP="0030239D">
      <w:pPr>
        <w:numPr>
          <w:ilvl w:val="0"/>
          <w:numId w:val="36"/>
        </w:numPr>
        <w:spacing w:after="120"/>
        <w:jc w:val="both"/>
        <w:rPr>
          <w:rFonts w:ascii="Century Gothic" w:hAnsi="Century Gothic"/>
        </w:rPr>
      </w:pPr>
      <w:r w:rsidRPr="007F489F">
        <w:rPr>
          <w:rFonts w:ascii="Century Gothic" w:hAnsi="Century Gothic"/>
        </w:rPr>
        <w:t>Declaração de que a empresa não utiliza mão-de-obra direta ou indireta de menores, conforme Lei nº 9.854, de 1999, regulamentada pelo Decreto nº 4.358, de 2002, conforme modelo anexo a este Edital.</w:t>
      </w:r>
    </w:p>
    <w:p w:rsidR="0030239D" w:rsidRPr="007F489F" w:rsidRDefault="0030239D" w:rsidP="0030239D">
      <w:pPr>
        <w:numPr>
          <w:ilvl w:val="0"/>
          <w:numId w:val="36"/>
        </w:numPr>
        <w:spacing w:after="120"/>
        <w:jc w:val="both"/>
        <w:rPr>
          <w:rFonts w:ascii="Century Gothic" w:hAnsi="Century Gothic"/>
        </w:rPr>
      </w:pPr>
      <w:r w:rsidRPr="007F489F">
        <w:rPr>
          <w:rFonts w:ascii="Century Gothic" w:hAnsi="Century Gothic"/>
        </w:rPr>
        <w:lastRenderedPageBreak/>
        <w:t>Declaração modelo Anexo IV.</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A comprovação dos requisitos de habilitação será exigida do licitante de acordo com o vulto e a complexidade de cada item.</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No caso de inabilitação, o(a) Pregoeiro(a) retomará o procedimento a partir da fase de julgamento da proposta, examinando a proposta subsequente e, assim sucessivamente, na ordem de classificação.</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Para fins de habilitação, o(a) Pregoeiro(a) poderá obter certidões de órgãos ou entidades emissoras de certidões por sítios oficiais.</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Não serão aceitos documentos com indicação de CNPJ diferentes, salvo aqueles legalmente permitidos.</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Havendo necessidade de analisar minuciosamente os documentos exigidos, o(a) Pregoeiro(a) suspenderá a sessão, informando a nova data e horário para a continuidade da mesma.</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Constatado o atendimento às exigências de habilitação fixadas no Edital, o licitante será declarado vencedor.</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30239D" w:rsidRPr="007F489F" w:rsidRDefault="0030239D" w:rsidP="0030239D">
      <w:pPr>
        <w:numPr>
          <w:ilvl w:val="3"/>
          <w:numId w:val="32"/>
        </w:numPr>
        <w:spacing w:after="120"/>
        <w:ind w:left="1277"/>
        <w:jc w:val="both"/>
        <w:rPr>
          <w:rFonts w:ascii="Century Gothic" w:hAnsi="Century Gothic"/>
        </w:rPr>
      </w:pPr>
      <w:r w:rsidRPr="007F489F">
        <w:rPr>
          <w:rFonts w:ascii="Century Gothic" w:hAnsi="Century Gothic"/>
        </w:rPr>
        <w:t>Como condição para o deferimento do prazo de regularização, o(a) Pregoeiro(a) poderá consultar o Portal da Transparência do Governo Federal (</w:t>
      </w:r>
      <w:hyperlink r:id="rId18" w:history="1">
        <w:r w:rsidRPr="007F489F">
          <w:rPr>
            <w:rStyle w:val="Hyperlink"/>
            <w:rFonts w:ascii="Century Gothic" w:hAnsi="Century Gothic"/>
          </w:rPr>
          <w:t>www.portaldatransparencia.gov.br</w:t>
        </w:r>
      </w:hyperlink>
      <w:r w:rsidRPr="007F489F">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30239D" w:rsidRPr="007F489F" w:rsidRDefault="0030239D" w:rsidP="0030239D">
      <w:pPr>
        <w:numPr>
          <w:ilvl w:val="3"/>
          <w:numId w:val="32"/>
        </w:numPr>
        <w:spacing w:after="120"/>
        <w:ind w:left="1277"/>
        <w:jc w:val="both"/>
        <w:rPr>
          <w:rFonts w:ascii="Century Gothic" w:hAnsi="Century Gothic"/>
        </w:rPr>
      </w:pPr>
      <w:r w:rsidRPr="007F489F">
        <w:rPr>
          <w:rFonts w:ascii="Century Gothic" w:hAnsi="Century Gothic"/>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lastRenderedPageBreak/>
        <w:t>A declaração do vencedor de que trata este subitem acontecerá no momento imediatamente posterior à fase de habilitação, aguardando-se os prazos de regularização fiscal para a abertura da fase recursal.</w:t>
      </w:r>
    </w:p>
    <w:p w:rsidR="0030239D" w:rsidRPr="007F489F" w:rsidRDefault="0030239D" w:rsidP="0030239D">
      <w:pPr>
        <w:numPr>
          <w:ilvl w:val="2"/>
          <w:numId w:val="32"/>
        </w:numPr>
        <w:spacing w:after="120"/>
        <w:jc w:val="both"/>
        <w:rPr>
          <w:rFonts w:ascii="Century Gothic" w:hAnsi="Century Gothic"/>
          <w:i/>
          <w:iCs/>
          <w:shd w:val="clear" w:color="auto" w:fill="C0C0C0"/>
        </w:rPr>
      </w:pPr>
      <w:r w:rsidRPr="007F489F">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30239D" w:rsidRPr="007F489F" w:rsidRDefault="0030239D" w:rsidP="0030239D">
      <w:pPr>
        <w:spacing w:before="100" w:beforeAutospacing="1" w:after="100" w:afterAutospacing="1"/>
        <w:jc w:val="both"/>
        <w:rPr>
          <w:rFonts w:ascii="Century Gothic" w:hAnsi="Century Gothic"/>
          <w:b/>
          <w:bCs/>
          <w:i/>
          <w:iCs/>
          <w:u w:val="single"/>
        </w:rPr>
      </w:pPr>
      <w:r w:rsidRPr="007F489F">
        <w:rPr>
          <w:rFonts w:ascii="Century Gothic" w:hAnsi="Century Gothic"/>
          <w:b/>
          <w:bCs/>
          <w:i/>
          <w:iCs/>
          <w:u w:val="single"/>
        </w:rPr>
        <w:t>Disposições: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documentos poderão ser apresentados, grampeados e/ou encadernados, devendo ser entregues enumerados e de preferência sequencialmente, a fim de permitir celeridade na conferência e exame correspondentes;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documentos deverão ser apresentados em fotocópias autenticadas ou fotocópias simples, acompanhadas dos respectivos originais, para a devida autenticação pela Equipe do Pregão;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 As empresas participantes que não apresentarem todos os documentos acima exigidos, ou que os apresentarem incompletos, incorretos, serão consideradas inabilitadas.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A verificação pela PREGOEIRA nos sites oficiais das entidades emissores de certidões constitui meio legal de prova.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documentos usados no credenciamento poderão ser usados para fins de habilitação, não sendo necessária sua duplicação.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30239D" w:rsidRPr="007F489F" w:rsidRDefault="0030239D" w:rsidP="0030239D">
      <w:pPr>
        <w:jc w:val="both"/>
        <w:rPr>
          <w:rFonts w:ascii="Century Gothic" w:hAnsi="Century Gothic"/>
        </w:rPr>
      </w:pPr>
    </w:p>
    <w:p w:rsidR="0030239D" w:rsidRPr="007F489F" w:rsidRDefault="0030239D" w:rsidP="00E771B3">
      <w:pPr>
        <w:spacing w:line="360" w:lineRule="auto"/>
        <w:jc w:val="both"/>
        <w:rPr>
          <w:rFonts w:ascii="Century Gothic" w:hAnsi="Century Gothic"/>
          <w:b/>
          <w:bCs/>
          <w:u w:val="single"/>
        </w:rPr>
      </w:pPr>
    </w:p>
    <w:sectPr w:rsidR="0030239D" w:rsidRPr="007F489F" w:rsidSect="00863DE7">
      <w:headerReference w:type="default" r:id="rId19"/>
      <w:footerReference w:type="default" r:id="rId20"/>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0C" w:rsidRDefault="00AD3E0C">
      <w:r>
        <w:separator/>
      </w:r>
    </w:p>
  </w:endnote>
  <w:endnote w:type="continuationSeparator" w:id="0">
    <w:p w:rsidR="00AD3E0C" w:rsidRDefault="00A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Dotu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C2E" w:rsidRPr="0082422E" w:rsidRDefault="003F7C2E"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3F7C2E" w:rsidRPr="0082422E" w:rsidRDefault="003F7C2E" w:rsidP="00C03316">
                          <w:pPr>
                            <w:tabs>
                              <w:tab w:val="left" w:pos="4820"/>
                            </w:tabs>
                            <w:rPr>
                              <w:rFonts w:ascii="Cambria" w:hAnsi="Cambria"/>
                              <w:sz w:val="14"/>
                              <w:szCs w:val="14"/>
                            </w:rPr>
                          </w:pPr>
                          <w:r>
                            <w:rPr>
                              <w:rFonts w:ascii="Cambria" w:hAnsi="Cambria"/>
                              <w:sz w:val="14"/>
                              <w:szCs w:val="14"/>
                            </w:rPr>
                            <w:t>PROCESSO DE LICITAÇÃO Nº 103/2023/PREGÃO PRESENCIAL Nº038/2023 /REGISTRO DEPREÇO Nº 040/2023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3F7C2E" w:rsidRPr="0082422E" w:rsidRDefault="003F7C2E" w:rsidP="00C03316">
                    <w:pPr>
                      <w:tabs>
                        <w:tab w:val="left" w:pos="4820"/>
                      </w:tabs>
                      <w:rPr>
                        <w:rFonts w:ascii="Cambria" w:hAnsi="Cambria"/>
                        <w:sz w:val="14"/>
                        <w:szCs w:val="14"/>
                      </w:rPr>
                    </w:pPr>
                    <w:r>
                      <w:rPr>
                        <w:rFonts w:ascii="Cambria" w:hAnsi="Cambria"/>
                        <w:sz w:val="14"/>
                        <w:szCs w:val="14"/>
                      </w:rPr>
                      <w:t>PROCESSO DE LICITAÇÃO Nº 103/2023/PREGÃO PRESENCIAL Nº038/2023 /REGISTRO DEPREÇO Nº 040/2023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D3819">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D3819">
      <w:rPr>
        <w:rFonts w:ascii="Century Gothic" w:hAnsi="Century Gothic"/>
        <w:noProof/>
        <w:sz w:val="14"/>
        <w:szCs w:val="14"/>
      </w:rPr>
      <w:t>40</w:t>
    </w:r>
    <w:r w:rsidRPr="0082422E">
      <w:rPr>
        <w:rFonts w:ascii="Century Gothic" w:hAnsi="Century Gothic"/>
        <w:sz w:val="14"/>
        <w:szCs w:val="14"/>
      </w:rPr>
      <w:fldChar w:fldCharType="end"/>
    </w:r>
  </w:p>
  <w:p w:rsidR="003F7C2E" w:rsidRPr="00AD7E8E" w:rsidRDefault="003F7C2E" w:rsidP="00C17AB2">
    <w:pPr>
      <w:pStyle w:val="Rodap"/>
      <w:rPr>
        <w:rFonts w:ascii="Century Gothic" w:hAnsi="Century Gothic" w:cs="Arial"/>
        <w:sz w:val="14"/>
        <w:szCs w:val="14"/>
      </w:rPr>
    </w:pPr>
  </w:p>
  <w:p w:rsidR="003F7C2E" w:rsidRPr="00AD7E8E" w:rsidRDefault="003F7C2E" w:rsidP="00C17AB2">
    <w:pPr>
      <w:pStyle w:val="Rodap"/>
      <w:jc w:val="center"/>
      <w:rPr>
        <w:rFonts w:ascii="Century Gothic" w:hAnsi="Century Gothic" w:cs="Arial"/>
        <w:sz w:val="14"/>
        <w:szCs w:val="14"/>
      </w:rPr>
    </w:pPr>
  </w:p>
  <w:p w:rsidR="003F7C2E" w:rsidRPr="00AD7E8E" w:rsidRDefault="003F7C2E"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0C" w:rsidRDefault="00AD3E0C">
      <w:r>
        <w:separator/>
      </w:r>
    </w:p>
  </w:footnote>
  <w:footnote w:type="continuationSeparator" w:id="0">
    <w:p w:rsidR="00AD3E0C" w:rsidRDefault="00AD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3F7C2E" w:rsidTr="00514C47">
      <w:tc>
        <w:tcPr>
          <w:tcW w:w="7479" w:type="dxa"/>
        </w:tcPr>
        <w:p w:rsidR="003F7C2E" w:rsidRPr="001A222B" w:rsidRDefault="003F7C2E"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3F7C2E" w:rsidRPr="001A222B" w:rsidRDefault="003F7C2E" w:rsidP="001B2FD1">
          <w:pPr>
            <w:pStyle w:val="Cabealho"/>
            <w:ind w:firstLine="1418"/>
            <w:jc w:val="center"/>
            <w:rPr>
              <w:sz w:val="22"/>
            </w:rPr>
          </w:pPr>
          <w:r w:rsidRPr="001A222B">
            <w:rPr>
              <w:sz w:val="22"/>
            </w:rPr>
            <w:t>Rua Padre João Coutinho, 121</w:t>
          </w:r>
        </w:p>
        <w:p w:rsidR="003F7C2E" w:rsidRPr="001A222B" w:rsidRDefault="003F7C2E" w:rsidP="001B2FD1">
          <w:pPr>
            <w:pStyle w:val="Cabealho"/>
            <w:ind w:firstLine="1418"/>
            <w:jc w:val="center"/>
            <w:rPr>
              <w:sz w:val="22"/>
            </w:rPr>
          </w:pPr>
          <w:r w:rsidRPr="001A222B">
            <w:rPr>
              <w:sz w:val="22"/>
            </w:rPr>
            <w:t>CNPJ nº 18.836.973/0001-20 – Tel.: (31)3872-5005</w:t>
          </w:r>
        </w:p>
        <w:p w:rsidR="003F7C2E" w:rsidRPr="008B68A8" w:rsidRDefault="003F7C2E"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3F7C2E" w:rsidRDefault="003F7C2E"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3F7C2E" w:rsidRDefault="003F7C2E"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6">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8"/>
  </w:num>
  <w:num w:numId="4">
    <w:abstractNumId w:val="6"/>
  </w:num>
  <w:num w:numId="5">
    <w:abstractNumId w:val="12"/>
  </w:num>
  <w:num w:numId="6">
    <w:abstractNumId w:val="8"/>
  </w:num>
  <w:num w:numId="7">
    <w:abstractNumId w:val="32"/>
  </w:num>
  <w:num w:numId="8">
    <w:abstractNumId w:val="11"/>
  </w:num>
  <w:num w:numId="9">
    <w:abstractNumId w:val="14"/>
  </w:num>
  <w:num w:numId="10">
    <w:abstractNumId w:val="31"/>
  </w:num>
  <w:num w:numId="11">
    <w:abstractNumId w:val="39"/>
  </w:num>
  <w:num w:numId="12">
    <w:abstractNumId w:val="24"/>
  </w:num>
  <w:num w:numId="13">
    <w:abstractNumId w:val="26"/>
  </w:num>
  <w:num w:numId="14">
    <w:abstractNumId w:val="27"/>
  </w:num>
  <w:num w:numId="15">
    <w:abstractNumId w:val="43"/>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1"/>
  </w:num>
  <w:num w:numId="26">
    <w:abstractNumId w:val="3"/>
  </w:num>
  <w:num w:numId="27">
    <w:abstractNumId w:val="9"/>
  </w:num>
  <w:num w:numId="28">
    <w:abstractNumId w:val="38"/>
  </w:num>
  <w:num w:numId="29">
    <w:abstractNumId w:val="42"/>
  </w:num>
  <w:num w:numId="30">
    <w:abstractNumId w:val="0"/>
  </w:num>
  <w:num w:numId="31">
    <w:abstractNumId w:val="7"/>
  </w:num>
  <w:num w:numId="32">
    <w:abstractNumId w:val="22"/>
  </w:num>
  <w:num w:numId="33">
    <w:abstractNumId w:val="23"/>
  </w:num>
  <w:num w:numId="34">
    <w:abstractNumId w:val="21"/>
  </w:num>
  <w:num w:numId="35">
    <w:abstractNumId w:val="40"/>
  </w:num>
  <w:num w:numId="36">
    <w:abstractNumId w:val="33"/>
  </w:num>
  <w:num w:numId="37">
    <w:abstractNumId w:val="30"/>
  </w:num>
  <w:num w:numId="38">
    <w:abstractNumId w:val="20"/>
  </w:num>
  <w:num w:numId="39">
    <w:abstractNumId w:val="37"/>
  </w:num>
  <w:num w:numId="40">
    <w:abstractNumId w:val="35"/>
  </w:num>
  <w:num w:numId="41">
    <w:abstractNumId w:val="36"/>
  </w:num>
  <w:num w:numId="42">
    <w:abstractNumId w:val="19"/>
  </w:num>
  <w:num w:numId="43">
    <w:abstractNumId w:val="5"/>
  </w:num>
  <w:num w:numId="44">
    <w:abstractNumId w:val="16"/>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1916"/>
    <w:rsid w:val="0003217A"/>
    <w:rsid w:val="000323C6"/>
    <w:rsid w:val="0003333C"/>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5D52"/>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6AFF"/>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40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0F00"/>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255"/>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239D"/>
    <w:rsid w:val="00303499"/>
    <w:rsid w:val="003050DB"/>
    <w:rsid w:val="003077DB"/>
    <w:rsid w:val="00310307"/>
    <w:rsid w:val="00310E38"/>
    <w:rsid w:val="003131B1"/>
    <w:rsid w:val="00313A1F"/>
    <w:rsid w:val="0031750D"/>
    <w:rsid w:val="00317CF2"/>
    <w:rsid w:val="003214B8"/>
    <w:rsid w:val="0032288D"/>
    <w:rsid w:val="00322BFB"/>
    <w:rsid w:val="00322F4C"/>
    <w:rsid w:val="003236CC"/>
    <w:rsid w:val="00323FF2"/>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618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C79F7"/>
    <w:rsid w:val="003D0A2E"/>
    <w:rsid w:val="003D1D77"/>
    <w:rsid w:val="003D1D83"/>
    <w:rsid w:val="003D2858"/>
    <w:rsid w:val="003D2D5B"/>
    <w:rsid w:val="003D3819"/>
    <w:rsid w:val="003D484F"/>
    <w:rsid w:val="003D5DC2"/>
    <w:rsid w:val="003D7BAB"/>
    <w:rsid w:val="003E1EEB"/>
    <w:rsid w:val="003E2CB6"/>
    <w:rsid w:val="003E4E1B"/>
    <w:rsid w:val="003E522B"/>
    <w:rsid w:val="003E56CF"/>
    <w:rsid w:val="003E585D"/>
    <w:rsid w:val="003E7936"/>
    <w:rsid w:val="003F2380"/>
    <w:rsid w:val="003F34FE"/>
    <w:rsid w:val="003F3663"/>
    <w:rsid w:val="003F4330"/>
    <w:rsid w:val="003F50AB"/>
    <w:rsid w:val="003F7C2E"/>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015"/>
    <w:rsid w:val="00424685"/>
    <w:rsid w:val="00424C0F"/>
    <w:rsid w:val="00426036"/>
    <w:rsid w:val="004310E8"/>
    <w:rsid w:val="004313BB"/>
    <w:rsid w:val="004314FD"/>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985"/>
    <w:rsid w:val="00490D74"/>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1522"/>
    <w:rsid w:val="004F21D8"/>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2CC"/>
    <w:rsid w:val="0052062D"/>
    <w:rsid w:val="00523161"/>
    <w:rsid w:val="00527E61"/>
    <w:rsid w:val="00530758"/>
    <w:rsid w:val="00530AB3"/>
    <w:rsid w:val="00532EA5"/>
    <w:rsid w:val="00534AFF"/>
    <w:rsid w:val="00535297"/>
    <w:rsid w:val="005425D3"/>
    <w:rsid w:val="0054298B"/>
    <w:rsid w:val="00544383"/>
    <w:rsid w:val="0054503E"/>
    <w:rsid w:val="00550625"/>
    <w:rsid w:val="0055115B"/>
    <w:rsid w:val="00552D09"/>
    <w:rsid w:val="00554A5B"/>
    <w:rsid w:val="005553D1"/>
    <w:rsid w:val="00555EBC"/>
    <w:rsid w:val="00556134"/>
    <w:rsid w:val="00556840"/>
    <w:rsid w:val="00560C71"/>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0A5A"/>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2095"/>
    <w:rsid w:val="006933A4"/>
    <w:rsid w:val="00693401"/>
    <w:rsid w:val="006959DE"/>
    <w:rsid w:val="006A2AF5"/>
    <w:rsid w:val="006A5F2B"/>
    <w:rsid w:val="006A6A01"/>
    <w:rsid w:val="006A6B2D"/>
    <w:rsid w:val="006A73E5"/>
    <w:rsid w:val="006A7875"/>
    <w:rsid w:val="006A78BF"/>
    <w:rsid w:val="006A7FE8"/>
    <w:rsid w:val="006B0076"/>
    <w:rsid w:val="006B3245"/>
    <w:rsid w:val="006B4D9D"/>
    <w:rsid w:val="006C5567"/>
    <w:rsid w:val="006C5BC1"/>
    <w:rsid w:val="006C637B"/>
    <w:rsid w:val="006C67A4"/>
    <w:rsid w:val="006D0D50"/>
    <w:rsid w:val="006D3C23"/>
    <w:rsid w:val="006D46CD"/>
    <w:rsid w:val="006D48BE"/>
    <w:rsid w:val="006D4D79"/>
    <w:rsid w:val="006D58F1"/>
    <w:rsid w:val="006D662A"/>
    <w:rsid w:val="006D6724"/>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0407"/>
    <w:rsid w:val="007D1748"/>
    <w:rsid w:val="007D377F"/>
    <w:rsid w:val="007D37C0"/>
    <w:rsid w:val="007D68EE"/>
    <w:rsid w:val="007D7244"/>
    <w:rsid w:val="007E066A"/>
    <w:rsid w:val="007E0916"/>
    <w:rsid w:val="007E2433"/>
    <w:rsid w:val="007E3E9D"/>
    <w:rsid w:val="007E5E3B"/>
    <w:rsid w:val="007E6775"/>
    <w:rsid w:val="007E7A3F"/>
    <w:rsid w:val="007F0DB9"/>
    <w:rsid w:val="007F25C4"/>
    <w:rsid w:val="007F489F"/>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6538"/>
    <w:rsid w:val="00827E3F"/>
    <w:rsid w:val="008324DB"/>
    <w:rsid w:val="00834EDC"/>
    <w:rsid w:val="00841BF2"/>
    <w:rsid w:val="00841DC9"/>
    <w:rsid w:val="00843261"/>
    <w:rsid w:val="008475D9"/>
    <w:rsid w:val="00847DB5"/>
    <w:rsid w:val="0085045D"/>
    <w:rsid w:val="0085174D"/>
    <w:rsid w:val="008524C5"/>
    <w:rsid w:val="00852E4A"/>
    <w:rsid w:val="008601D7"/>
    <w:rsid w:val="00861E48"/>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380"/>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47D4"/>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3C81"/>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0D4"/>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3E0C"/>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2B3B"/>
    <w:rsid w:val="00B3307C"/>
    <w:rsid w:val="00B3508F"/>
    <w:rsid w:val="00B362AD"/>
    <w:rsid w:val="00B377CE"/>
    <w:rsid w:val="00B40EB5"/>
    <w:rsid w:val="00B41B5E"/>
    <w:rsid w:val="00B42161"/>
    <w:rsid w:val="00B423FB"/>
    <w:rsid w:val="00B4267D"/>
    <w:rsid w:val="00B43577"/>
    <w:rsid w:val="00B459DA"/>
    <w:rsid w:val="00B46A09"/>
    <w:rsid w:val="00B46A31"/>
    <w:rsid w:val="00B47179"/>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013"/>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6F97"/>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D7DDE"/>
    <w:rsid w:val="00CE073E"/>
    <w:rsid w:val="00CE09F4"/>
    <w:rsid w:val="00CE12D5"/>
    <w:rsid w:val="00CE166B"/>
    <w:rsid w:val="00CE255E"/>
    <w:rsid w:val="00CE50CD"/>
    <w:rsid w:val="00CE5D9D"/>
    <w:rsid w:val="00CE633B"/>
    <w:rsid w:val="00CE71F0"/>
    <w:rsid w:val="00CE7AAE"/>
    <w:rsid w:val="00CF1123"/>
    <w:rsid w:val="00CF12C1"/>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0CA9"/>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465E"/>
    <w:rsid w:val="00DE54DA"/>
    <w:rsid w:val="00DE6433"/>
    <w:rsid w:val="00DF1ACC"/>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6496"/>
    <w:rsid w:val="00E51B31"/>
    <w:rsid w:val="00E5238B"/>
    <w:rsid w:val="00E54737"/>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B6AFF"/>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54C4"/>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8F2"/>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D6090"/>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A63FE53-1C59-4A0F-B4BB-109A0AB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95">
    <w:name w:val="xl95"/>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7">
    <w:name w:val="xl97"/>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8">
    <w:name w:val="xl98"/>
    <w:basedOn w:val="Normal"/>
    <w:rsid w:val="00CA6F97"/>
    <w:pPr>
      <w:pBdr>
        <w:bottom w:val="single" w:sz="8" w:space="0" w:color="auto"/>
      </w:pBdr>
      <w:spacing w:before="100" w:beforeAutospacing="1" w:after="100" w:afterAutospacing="1"/>
      <w:jc w:val="center"/>
    </w:pPr>
    <w:rPr>
      <w:sz w:val="24"/>
      <w:szCs w:val="24"/>
    </w:rPr>
  </w:style>
  <w:style w:type="paragraph" w:customStyle="1" w:styleId="xl99">
    <w:name w:val="xl99"/>
    <w:basedOn w:val="Normal"/>
    <w:rsid w:val="00CA6F97"/>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03">
    <w:name w:val="xl103"/>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CA6F97"/>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266889287">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8818152">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mailto:compraselicitacaograma@gmail.com" TargetMode="External"/><Relationship Id="rId18" Type="http://schemas.openxmlformats.org/officeDocument/2006/relationships/hyperlink" Target="http://www.portaldatransparencia.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luisburgo.mg.gov.br" TargetMode="External"/><Relationship Id="rId17" Type="http://schemas.openxmlformats.org/officeDocument/2006/relationships/hyperlink" Target="http://www.portaldoempreendedor.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pmsaa.mg.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pt.wikipedia.org/wiki/Lista_de_mesorregi%C3%B5es_e_microrregi%C3%B5es_de_Minas_Gerai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t.wikipedia.org/wiki/Lista_de_mesorregi%C3%B5es_e_microrregi%C3%B5es_de_Minas_Gerais" TargetMode="External"/><Relationship Id="rId14" Type="http://schemas.openxmlformats.org/officeDocument/2006/relationships/hyperlink" Target="http://www.portaldatransparencia.gov.br/cei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2CB8-CC24-48A9-8BDC-307D468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16778</Words>
  <Characters>90605</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107169</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subject/>
  <dc:creator>Winxp</dc:creator>
  <cp:keywords/>
  <dc:description/>
  <cp:lastModifiedBy>Gizelia</cp:lastModifiedBy>
  <cp:revision>2</cp:revision>
  <cp:lastPrinted>2023-03-14T16:56:00Z</cp:lastPrinted>
  <dcterms:created xsi:type="dcterms:W3CDTF">2023-10-10T19:11:00Z</dcterms:created>
  <dcterms:modified xsi:type="dcterms:W3CDTF">2023-10-10T19:11:00Z</dcterms:modified>
</cp:coreProperties>
</file>