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4F9" w:rsidRPr="008320A9" w:rsidRDefault="001944F9" w:rsidP="001944F9">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1944F9" w:rsidRPr="008320A9" w:rsidRDefault="001944F9" w:rsidP="001944F9">
      <w:pPr>
        <w:jc w:val="both"/>
        <w:rPr>
          <w:rFonts w:ascii="Century Gothic" w:hAnsi="Century Gothic"/>
        </w:rPr>
      </w:pP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INTRODUÇÃO</w:t>
      </w:r>
    </w:p>
    <w:p w:rsidR="001944F9" w:rsidRPr="00A03246" w:rsidRDefault="001944F9" w:rsidP="001944F9">
      <w:pPr>
        <w:jc w:val="both"/>
        <w:rPr>
          <w:rFonts w:ascii="Arial" w:hAnsi="Arial" w:cs="Arial"/>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w:t>
      </w:r>
      <w:r>
        <w:rPr>
          <w:rFonts w:ascii="Arial" w:hAnsi="Arial" w:cs="Arial"/>
        </w:rPr>
        <w:t>para a c</w:t>
      </w:r>
      <w:r w:rsidRPr="00983DDE">
        <w:rPr>
          <w:rFonts w:ascii="Arial" w:hAnsi="Arial" w:cs="Arial"/>
        </w:rPr>
        <w:t>ontrataç</w:t>
      </w:r>
      <w:r>
        <w:rPr>
          <w:rFonts w:ascii="Arial" w:hAnsi="Arial" w:cs="Arial"/>
        </w:rPr>
        <w:t xml:space="preserve">ão de show artístico da </w:t>
      </w:r>
      <w:r w:rsidRPr="00983DDE">
        <w:rPr>
          <w:rFonts w:ascii="Arial" w:hAnsi="Arial" w:cs="Arial"/>
        </w:rPr>
        <w:t xml:space="preserve">BANDA </w:t>
      </w:r>
      <w:r>
        <w:rPr>
          <w:rFonts w:ascii="Arial" w:hAnsi="Arial" w:cs="Arial"/>
        </w:rPr>
        <w:t>VIROU MANIA</w:t>
      </w:r>
      <w:r w:rsidRPr="00983DDE">
        <w:rPr>
          <w:rFonts w:ascii="Arial" w:hAnsi="Arial" w:cs="Arial"/>
        </w:rPr>
        <w:t xml:space="preserve">, a ser realizada durante </w:t>
      </w:r>
      <w:r>
        <w:rPr>
          <w:rFonts w:ascii="Arial" w:hAnsi="Arial" w:cs="Arial"/>
        </w:rPr>
        <w:t>o carnaval</w:t>
      </w:r>
      <w:r w:rsidRPr="00983DDE">
        <w:rPr>
          <w:rFonts w:ascii="Arial" w:hAnsi="Arial" w:cs="Arial"/>
        </w:rPr>
        <w:t>, no dia</w:t>
      </w:r>
      <w:r>
        <w:rPr>
          <w:rFonts w:ascii="Arial" w:hAnsi="Arial" w:cs="Arial"/>
        </w:rPr>
        <w:t xml:space="preserve"> 04/03/2025</w:t>
      </w:r>
      <w:r w:rsidRPr="00983DDE">
        <w:rPr>
          <w:rFonts w:ascii="Arial" w:hAnsi="Arial" w:cs="Arial"/>
        </w:rPr>
        <w:t xml:space="preserve">, com duração de </w:t>
      </w:r>
      <w:r>
        <w:rPr>
          <w:rFonts w:ascii="Arial" w:hAnsi="Arial" w:cs="Arial"/>
        </w:rPr>
        <w:t>3</w:t>
      </w:r>
      <w:r w:rsidRPr="00983DDE">
        <w:rPr>
          <w:rFonts w:ascii="Arial" w:hAnsi="Arial" w:cs="Arial"/>
        </w:rPr>
        <w:t>hrs (</w:t>
      </w:r>
      <w:r>
        <w:rPr>
          <w:rFonts w:ascii="Arial" w:hAnsi="Arial" w:cs="Arial"/>
        </w:rPr>
        <w:t>três</w:t>
      </w:r>
      <w:r w:rsidRPr="00983DDE">
        <w:rPr>
          <w:rFonts w:ascii="Arial" w:hAnsi="Arial" w:cs="Arial"/>
        </w:rPr>
        <w:t xml:space="preserve"> horas), no município de Santo Antônio do Grama/MG.</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DO FUNDAMENTO LEGAL</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1944F9" w:rsidRPr="000F4774" w:rsidRDefault="001944F9" w:rsidP="001944F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1944F9" w:rsidRPr="000F4774" w:rsidRDefault="001944F9" w:rsidP="001944F9">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1944F9" w:rsidRPr="008F3708" w:rsidRDefault="001944F9" w:rsidP="001944F9">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lastRenderedPageBreak/>
        <w:t>Contrato firmado pelo próprio c</w:t>
      </w:r>
      <w:r>
        <w:rPr>
          <w:rFonts w:ascii="Century Gothic" w:hAnsi="Century Gothic"/>
        </w:rPr>
        <w:t>ontratado ou por meio de empresa de  exclusividade</w:t>
      </w:r>
      <w:r w:rsidRPr="008F3708">
        <w:rPr>
          <w:rFonts w:ascii="Century Gothic" w:hAnsi="Century Gothic"/>
        </w:rPr>
        <w:t>;</w:t>
      </w:r>
    </w:p>
    <w:p w:rsidR="001944F9" w:rsidRPr="008320A9" w:rsidRDefault="001944F9" w:rsidP="001944F9">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1944F9" w:rsidRPr="008320A9" w:rsidRDefault="001944F9" w:rsidP="001944F9">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1944F9" w:rsidRPr="008320A9" w:rsidRDefault="001944F9" w:rsidP="001944F9">
      <w:pPr>
        <w:spacing w:before="100" w:beforeAutospacing="1" w:after="100" w:afterAutospacing="1"/>
        <w:jc w:val="both"/>
        <w:rPr>
          <w:rFonts w:ascii="Century Gothic" w:hAnsi="Century Gothic"/>
        </w:rPr>
      </w:pPr>
      <w:r>
        <w:rPr>
          <w:rFonts w:ascii="Century Gothic" w:hAnsi="Century Gothic"/>
        </w:rPr>
        <w:t>Neste contexto, temos que a  empresa “ DRI ASSESORIA E SERVIÇOS LTDA”</w:t>
      </w:r>
      <w:r w:rsidRPr="00582222">
        <w:rPr>
          <w:rFonts w:ascii="Century Gothic" w:hAnsi="Century Gothic"/>
          <w:color w:val="FF0000"/>
        </w:rPr>
        <w:t xml:space="preserve">, </w:t>
      </w:r>
      <w:r>
        <w:rPr>
          <w:rFonts w:ascii="Century Gothic" w:hAnsi="Century Gothic"/>
        </w:rPr>
        <w:t>esta representada pelo Sr.(a) PABLO AMORIM DE MATOS ,</w:t>
      </w:r>
      <w:r w:rsidRPr="008320A9">
        <w:rPr>
          <w:rFonts w:ascii="Century Gothic" w:hAnsi="Century Gothic"/>
        </w:rPr>
        <w:t xml:space="preserve"> pessoa jurídica de direito privado, inscrito no </w:t>
      </w:r>
      <w:r>
        <w:rPr>
          <w:rFonts w:ascii="Century Gothic" w:hAnsi="Century Gothic"/>
        </w:rPr>
        <w:t xml:space="preserve">CNPJ </w:t>
      </w:r>
      <w:r w:rsidRPr="008320A9">
        <w:rPr>
          <w:rFonts w:ascii="Century Gothic" w:hAnsi="Century Gothic"/>
        </w:rPr>
        <w:t>sob o nº</w:t>
      </w:r>
      <w:r>
        <w:rPr>
          <w:rFonts w:ascii="Century Gothic" w:hAnsi="Century Gothic"/>
        </w:rPr>
        <w:t xml:space="preserve"> 27.343.091/0001-14</w:t>
      </w:r>
      <w:r w:rsidRPr="008320A9">
        <w:rPr>
          <w:rFonts w:ascii="Century Gothic" w:hAnsi="Century Gothic"/>
        </w:rPr>
        <w:t xml:space="preserve">, com sede </w:t>
      </w:r>
      <w:r w:rsidRPr="004416A8">
        <w:rPr>
          <w:rFonts w:ascii="Century Gothic" w:hAnsi="Century Gothic"/>
        </w:rPr>
        <w:t>na Rua  José Fernandes Almeida, nº 21, Bairro Bromelias, Timoteo, CEP: 35.180-512,  portador do CPF sob o nº 043.316.866-80, devidamente comprovado com o atestado de e</w:t>
      </w:r>
      <w:r w:rsidRPr="008320A9">
        <w:rPr>
          <w:rFonts w:ascii="Century Gothic" w:hAnsi="Century Gothic"/>
        </w:rPr>
        <w:t>xclusividade para representar a</w:t>
      </w:r>
      <w:r>
        <w:rPr>
          <w:rFonts w:ascii="Century Gothic" w:hAnsi="Century Gothic"/>
        </w:rPr>
        <w:t xml:space="preserve"> empresa</w:t>
      </w:r>
      <w:r w:rsidRPr="008320A9">
        <w:rPr>
          <w:rFonts w:ascii="Century Gothic" w:hAnsi="Century Gothic"/>
        </w:rPr>
        <w:t>, nos moldes estabelecidos na Lei Federal nº 14.133/2021.</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1944F9" w:rsidRDefault="001944F9" w:rsidP="001944F9">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1944F9" w:rsidRDefault="001944F9" w:rsidP="001944F9">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1944F9" w:rsidRDefault="001944F9" w:rsidP="001944F9">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1944F9" w:rsidRPr="008320A9" w:rsidRDefault="001944F9" w:rsidP="001944F9">
      <w:pPr>
        <w:spacing w:before="100" w:beforeAutospacing="1" w:after="100" w:afterAutospacing="1"/>
        <w:jc w:val="both"/>
        <w:rPr>
          <w:rFonts w:ascii="Century Gothic" w:hAnsi="Century Gothic"/>
        </w:rPr>
      </w:pPr>
      <w:r>
        <w:rPr>
          <w:rFonts w:ascii="Century Gothic" w:hAnsi="Century Gothic"/>
        </w:rPr>
        <w:t>Nesta to</w:t>
      </w:r>
      <w:r w:rsidRPr="008320A9">
        <w:rPr>
          <w:rFonts w:ascii="Century Gothic" w:hAnsi="Century Gothic"/>
        </w:rPr>
        <w:t>da, os documentos apresentados pela empresa, atendem as disposições legais, cuja proposta esta em conformidade com a legislação.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 xml:space="preserve">Com efeito, além dos requisitos do art. 74, é imprescindível a publicação, na imprensa oficial, da inexigibilidade, da justificativa da escolha do contratado e </w:t>
      </w:r>
      <w:r w:rsidRPr="008320A9">
        <w:rPr>
          <w:rFonts w:ascii="Century Gothic" w:hAnsi="Century Gothic"/>
        </w:rPr>
        <w:lastRenderedPageBreak/>
        <w:t>da justificativa do seu preço, evitando-se prejuízos ao erário em razão de superfaturamentos, o que neste caso, temos as comprovações requeridas na legislação.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1944F9" w:rsidRDefault="001944F9" w:rsidP="001944F9">
      <w:pPr>
        <w:spacing w:before="100" w:beforeAutospacing="1" w:after="100" w:afterAutospacing="1"/>
        <w:jc w:val="both"/>
        <w:rPr>
          <w:rFonts w:ascii="Century Gothic" w:hAnsi="Century Gothic"/>
        </w:rPr>
      </w:pPr>
      <w:r>
        <w:rPr>
          <w:rFonts w:ascii="Century Gothic" w:hAnsi="Century Gothic"/>
        </w:rPr>
        <w:t>VALOR DA CONTRATAÇÃO</w:t>
      </w:r>
    </w:p>
    <w:p w:rsidR="001944F9" w:rsidRDefault="001944F9" w:rsidP="001944F9">
      <w:pPr>
        <w:spacing w:before="100" w:beforeAutospacing="1" w:after="100" w:afterAutospacing="1"/>
        <w:jc w:val="both"/>
        <w:rPr>
          <w:rFonts w:ascii="Century Gothic" w:hAnsi="Century Gothic"/>
        </w:rPr>
      </w:pPr>
      <w:r>
        <w:rPr>
          <w:rFonts w:ascii="Century Gothic" w:hAnsi="Century Gothic"/>
        </w:rPr>
        <w:t>Tem como estimativa de preço o valor R$ 13.000,00(treze mil reais)</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FORMA DE PAGAMENTO</w:t>
      </w:r>
    </w:p>
    <w:p w:rsidR="001944F9" w:rsidRDefault="001944F9" w:rsidP="001944F9">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1944F9" w:rsidRDefault="001944F9" w:rsidP="001944F9">
      <w:pPr>
        <w:spacing w:before="100" w:beforeAutospacing="1" w:after="100" w:afterAutospacing="1"/>
        <w:jc w:val="both"/>
        <w:rPr>
          <w:rFonts w:ascii="Century Gothic" w:hAnsi="Century Gothic"/>
        </w:rPr>
      </w:pPr>
      <w:r>
        <w:rPr>
          <w:rFonts w:ascii="Century Gothic" w:hAnsi="Century Gothic"/>
        </w:rPr>
        <w:t>Opagamento será efetuado pela Prefeitura Municipal de Santo Antonio do Grama antes da apresentação 100% do pagamento, contados do recebimento da nota fiscal/ fatura, caso não haja nenhuma pendencia fiscal ou de execução por parte da Contratada.</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1944F9" w:rsidRPr="008320A9" w:rsidRDefault="001944F9" w:rsidP="001944F9">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1944F9" w:rsidRDefault="001944F9" w:rsidP="001944F9">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1944F9" w:rsidRDefault="001944F9" w:rsidP="001944F9">
      <w:pPr>
        <w:spacing w:before="100" w:beforeAutospacing="1" w:after="100" w:afterAutospacing="1"/>
        <w:jc w:val="both"/>
        <w:rPr>
          <w:rFonts w:ascii="Century Gothic" w:hAnsi="Century Gothic"/>
        </w:rPr>
      </w:pPr>
    </w:p>
    <w:p w:rsidR="001944F9" w:rsidRPr="008320A9" w:rsidRDefault="001944F9" w:rsidP="001944F9">
      <w:pPr>
        <w:spacing w:before="100" w:beforeAutospacing="1" w:after="100" w:afterAutospacing="1"/>
        <w:jc w:val="both"/>
        <w:rPr>
          <w:rFonts w:ascii="Century Gothic" w:hAnsi="Century Gothic"/>
        </w:rPr>
      </w:pPr>
    </w:p>
    <w:p w:rsidR="001944F9" w:rsidRDefault="001944F9" w:rsidP="001944F9">
      <w:pPr>
        <w:spacing w:before="100" w:beforeAutospacing="1" w:after="100" w:afterAutospacing="1"/>
        <w:jc w:val="center"/>
        <w:rPr>
          <w:rFonts w:ascii="Century Gothic" w:hAnsi="Century Gothic"/>
          <w:color w:val="FF0000"/>
        </w:rPr>
      </w:pPr>
      <w:r>
        <w:rPr>
          <w:rFonts w:ascii="Century Gothic" w:hAnsi="Century Gothic"/>
        </w:rPr>
        <w:t xml:space="preserve">Santo Antônio do Grama, </w:t>
      </w:r>
      <w:r>
        <w:rPr>
          <w:rFonts w:ascii="Century Gothic" w:hAnsi="Century Gothic"/>
          <w:color w:val="FF0000"/>
        </w:rPr>
        <w:t>18 de dezembro de 2024.</w:t>
      </w:r>
    </w:p>
    <w:p w:rsidR="001944F9" w:rsidRDefault="001944F9" w:rsidP="001944F9">
      <w:pPr>
        <w:spacing w:before="100" w:beforeAutospacing="1" w:after="100" w:afterAutospacing="1"/>
        <w:jc w:val="center"/>
        <w:rPr>
          <w:rFonts w:ascii="Century Gothic" w:hAnsi="Century Gothic"/>
          <w:color w:val="FF0000"/>
        </w:rPr>
      </w:pPr>
    </w:p>
    <w:p w:rsidR="001944F9" w:rsidRPr="008320A9" w:rsidRDefault="001944F9" w:rsidP="001944F9">
      <w:pPr>
        <w:spacing w:before="100" w:beforeAutospacing="1" w:after="100" w:afterAutospacing="1"/>
        <w:jc w:val="center"/>
        <w:rPr>
          <w:rFonts w:ascii="Century Gothic" w:hAnsi="Century Gothic"/>
        </w:rPr>
      </w:pPr>
    </w:p>
    <w:p w:rsidR="001944F9" w:rsidRPr="008320A9" w:rsidRDefault="001944F9" w:rsidP="001944F9">
      <w:pPr>
        <w:spacing w:before="100" w:beforeAutospacing="1" w:after="100" w:afterAutospacing="1"/>
        <w:jc w:val="both"/>
        <w:rPr>
          <w:rFonts w:ascii="Century Gothic" w:hAnsi="Century Gothic"/>
        </w:rPr>
      </w:pPr>
    </w:p>
    <w:p w:rsidR="001944F9" w:rsidRPr="00A91186" w:rsidRDefault="001944F9" w:rsidP="001944F9">
      <w:pPr>
        <w:jc w:val="center"/>
        <w:rPr>
          <w:rFonts w:ascii="Century Gothic" w:hAnsi="Century Gothic"/>
          <w:b/>
        </w:rPr>
      </w:pPr>
      <w:r w:rsidRPr="00A91186">
        <w:rPr>
          <w:rFonts w:ascii="Century Gothic" w:hAnsi="Century Gothic"/>
          <w:b/>
        </w:rPr>
        <w:t>MARIA DAS GRAÇAS ZINATO</w:t>
      </w:r>
    </w:p>
    <w:p w:rsidR="001944F9" w:rsidRPr="00A91186" w:rsidRDefault="001944F9" w:rsidP="001944F9">
      <w:pPr>
        <w:jc w:val="center"/>
        <w:rPr>
          <w:rFonts w:ascii="Century Gothic" w:hAnsi="Century Gothic"/>
          <w:b/>
        </w:rPr>
      </w:pPr>
      <w:r w:rsidRPr="00A91186">
        <w:rPr>
          <w:rFonts w:ascii="Century Gothic" w:hAnsi="Century Gothic"/>
          <w:b/>
        </w:rPr>
        <w:t>SECRETARIA MUNICIPAL DE ESPORTE, CULTURA, LAZER E EDUCAÇÃO</w:t>
      </w:r>
    </w:p>
    <w:p w:rsidR="001944F9" w:rsidRDefault="001944F9" w:rsidP="001944F9">
      <w:pPr>
        <w:spacing w:before="100" w:beforeAutospacing="1" w:after="100" w:afterAutospacing="1"/>
        <w:jc w:val="both"/>
        <w:rPr>
          <w:rFonts w:ascii="Century Gothic" w:hAnsi="Century Gothic"/>
        </w:rPr>
      </w:pPr>
    </w:p>
    <w:p w:rsidR="001944F9" w:rsidRDefault="001944F9" w:rsidP="001944F9">
      <w:pPr>
        <w:spacing w:before="100" w:beforeAutospacing="1" w:after="100" w:afterAutospacing="1"/>
        <w:jc w:val="both"/>
        <w:rPr>
          <w:rFonts w:ascii="Century Gothic" w:hAnsi="Century Gothic"/>
        </w:rPr>
      </w:pPr>
    </w:p>
    <w:p w:rsidR="001944F9" w:rsidRDefault="001944F9" w:rsidP="001944F9">
      <w:pPr>
        <w:spacing w:before="100" w:beforeAutospacing="1" w:after="100" w:afterAutospacing="1"/>
        <w:jc w:val="both"/>
        <w:rPr>
          <w:rFonts w:ascii="Century Gothic" w:hAnsi="Century Gothic"/>
        </w:rPr>
      </w:pPr>
    </w:p>
    <w:p w:rsidR="001944F9" w:rsidRDefault="001944F9" w:rsidP="001944F9">
      <w:pPr>
        <w:spacing w:before="100" w:beforeAutospacing="1" w:after="100" w:afterAutospacing="1"/>
        <w:jc w:val="both"/>
        <w:rPr>
          <w:rFonts w:ascii="Century Gothic" w:hAnsi="Century Gothic"/>
        </w:rPr>
      </w:pPr>
    </w:p>
    <w:p w:rsidR="001944F9" w:rsidRDefault="001944F9" w:rsidP="001944F9">
      <w:pPr>
        <w:spacing w:before="100" w:beforeAutospacing="1" w:after="100" w:afterAutospacing="1"/>
        <w:jc w:val="both"/>
        <w:rPr>
          <w:rFonts w:ascii="Century Gothic" w:hAnsi="Century Gothic"/>
        </w:rPr>
      </w:pPr>
    </w:p>
    <w:p w:rsidR="00820FA1" w:rsidRDefault="00820FA1"/>
    <w:sectPr w:rsidR="00820F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273F" w:rsidRDefault="00CA273F" w:rsidP="001944F9">
      <w:r>
        <w:separator/>
      </w:r>
    </w:p>
  </w:endnote>
  <w:endnote w:type="continuationSeparator" w:id="0">
    <w:p w:rsidR="00CA273F" w:rsidRDefault="00CA273F" w:rsidP="0019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273F" w:rsidRDefault="00CA273F" w:rsidP="001944F9">
      <w:r>
        <w:separator/>
      </w:r>
    </w:p>
  </w:footnote>
  <w:footnote w:type="continuationSeparator" w:id="0">
    <w:p w:rsidR="00CA273F" w:rsidRDefault="00CA273F" w:rsidP="0019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4F9" w:rsidRPr="005D50B3" w:rsidRDefault="001944F9" w:rsidP="001944F9">
    <w:pPr>
      <w:pStyle w:val="Cabealho"/>
      <w:jc w:val="center"/>
    </w:pPr>
    <w:bookmarkStart w:id="2" w:name="_Hlk187170771"/>
    <w:r>
      <w:rPr>
        <w:noProof/>
        <w:lang w:val="pt-BR"/>
      </w:rPr>
      <w:drawing>
        <wp:anchor distT="0" distB="0" distL="114300" distR="114300" simplePos="0" relativeHeight="251659264" behindDoc="0" locked="0" layoutInCell="1" allowOverlap="1" wp14:anchorId="369691EB" wp14:editId="4968BDD6">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1944F9" w:rsidRDefault="001944F9" w:rsidP="001944F9">
    <w:pPr>
      <w:pStyle w:val="Cabealho"/>
    </w:pPr>
  </w:p>
  <w:bookmarkEnd w:id="2"/>
  <w:p w:rsidR="001944F9" w:rsidRDefault="001944F9" w:rsidP="001944F9">
    <w:pPr>
      <w:pStyle w:val="Cabealho"/>
    </w:pPr>
  </w:p>
  <w:p w:rsidR="001944F9" w:rsidRDefault="001944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763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F9"/>
    <w:rsid w:val="001944F9"/>
    <w:rsid w:val="00820FA1"/>
    <w:rsid w:val="00B9438E"/>
    <w:rsid w:val="00C6574D"/>
    <w:rsid w:val="00CA2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668D-B3F6-46EE-A1B4-43BA8F2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F9"/>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44F9"/>
    <w:pPr>
      <w:ind w:left="716"/>
      <w:jc w:val="both"/>
    </w:pPr>
  </w:style>
  <w:style w:type="paragraph" w:styleId="NormalWeb">
    <w:name w:val="Normal (Web)"/>
    <w:basedOn w:val="Normal"/>
    <w:uiPriority w:val="99"/>
    <w:unhideWhenUsed/>
    <w:rsid w:val="001944F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1944F9"/>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944F9"/>
    <w:rPr>
      <w:rFonts w:ascii="Calibri" w:eastAsia="Calibri" w:hAnsi="Calibri" w:cs="Calibri"/>
      <w:kern w:val="0"/>
      <w:lang w:val="pt-PT"/>
      <w14:ligatures w14:val="none"/>
    </w:rPr>
  </w:style>
  <w:style w:type="paragraph" w:styleId="Rodap">
    <w:name w:val="footer"/>
    <w:basedOn w:val="Normal"/>
    <w:link w:val="RodapChar"/>
    <w:uiPriority w:val="99"/>
    <w:unhideWhenUsed/>
    <w:rsid w:val="001944F9"/>
    <w:pPr>
      <w:tabs>
        <w:tab w:val="center" w:pos="4252"/>
        <w:tab w:val="right" w:pos="8504"/>
      </w:tabs>
    </w:pPr>
  </w:style>
  <w:style w:type="character" w:customStyle="1" w:styleId="RodapChar">
    <w:name w:val="Rodapé Char"/>
    <w:basedOn w:val="Fontepargpadro"/>
    <w:link w:val="Rodap"/>
    <w:uiPriority w:val="99"/>
    <w:rsid w:val="001944F9"/>
    <w:rPr>
      <w:rFonts w:ascii="Calibri" w:eastAsia="Calibri" w:hAnsi="Calibri" w:cs="Calibri"/>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5401</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dc:description/>
  <cp:lastModifiedBy>Daniely</cp:lastModifiedBy>
  <cp:revision>1</cp:revision>
  <dcterms:created xsi:type="dcterms:W3CDTF">2025-01-09T17:59:00Z</dcterms:created>
  <dcterms:modified xsi:type="dcterms:W3CDTF">2025-01-09T18:00:00Z</dcterms:modified>
</cp:coreProperties>
</file>