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910" w:rsidRPr="008320A9" w:rsidRDefault="00C44910" w:rsidP="00C44910">
      <w:pPr>
        <w:jc w:val="center"/>
        <w:rPr>
          <w:rFonts w:ascii="Century Gothic" w:hAnsi="Century Gothic"/>
          <w:b/>
          <w:bCs/>
          <w:i/>
          <w:iCs/>
          <w:sz w:val="32"/>
          <w:szCs w:val="32"/>
        </w:rPr>
      </w:pPr>
      <w:r w:rsidRPr="008320A9">
        <w:rPr>
          <w:rFonts w:ascii="Century Gothic" w:hAnsi="Century Gothic"/>
          <w:b/>
          <w:bCs/>
          <w:i/>
          <w:iCs/>
          <w:sz w:val="32"/>
          <w:szCs w:val="32"/>
        </w:rPr>
        <w:t>ESTUDO TÉCNICO PRELIMINAR</w:t>
      </w:r>
    </w:p>
    <w:p w:rsidR="00C44910" w:rsidRPr="008320A9" w:rsidRDefault="00C44910" w:rsidP="00C44910">
      <w:pPr>
        <w:jc w:val="both"/>
        <w:rPr>
          <w:rFonts w:ascii="Century Gothic" w:hAnsi="Century Gothic"/>
        </w:rPr>
      </w:pPr>
    </w:p>
    <w:p w:rsidR="00C44910" w:rsidRPr="008320A9" w:rsidRDefault="00C44910" w:rsidP="00C44910">
      <w:pPr>
        <w:spacing w:before="100" w:beforeAutospacing="1" w:after="100" w:afterAutospacing="1"/>
        <w:jc w:val="both"/>
        <w:rPr>
          <w:rFonts w:ascii="Century Gothic" w:hAnsi="Century Gothic"/>
        </w:rPr>
      </w:pPr>
      <w:r w:rsidRPr="008320A9">
        <w:rPr>
          <w:rFonts w:ascii="Century Gothic" w:hAnsi="Century Gothic"/>
        </w:rPr>
        <w:t>INTRODUÇÃO</w:t>
      </w:r>
    </w:p>
    <w:p w:rsidR="00C44910" w:rsidRPr="00983DDE" w:rsidRDefault="00C44910" w:rsidP="00C44910">
      <w:pPr>
        <w:jc w:val="both"/>
        <w:rPr>
          <w:rFonts w:ascii="Arial" w:hAnsi="Arial" w:cs="Arial"/>
        </w:rPr>
      </w:pPr>
      <w:r w:rsidRPr="008320A9">
        <w:rPr>
          <w:rFonts w:ascii="Century Gothic" w:hAnsi="Century Gothic"/>
        </w:rPr>
        <w:t xml:space="preserve">O presente estudo consiste em verificar a possibilidade de </w:t>
      </w:r>
      <w:r w:rsidRPr="00983DDE">
        <w:rPr>
          <w:rFonts w:ascii="Arial" w:hAnsi="Arial" w:cs="Arial"/>
        </w:rPr>
        <w:t>Contrataç</w:t>
      </w:r>
      <w:r>
        <w:rPr>
          <w:rFonts w:ascii="Arial" w:hAnsi="Arial" w:cs="Arial"/>
        </w:rPr>
        <w:t xml:space="preserve">ão de show artístico da </w:t>
      </w:r>
      <w:r w:rsidRPr="00983DDE">
        <w:rPr>
          <w:rFonts w:ascii="Arial" w:hAnsi="Arial" w:cs="Arial"/>
        </w:rPr>
        <w:t xml:space="preserve">BANDA </w:t>
      </w:r>
      <w:r>
        <w:rPr>
          <w:rFonts w:ascii="Arial" w:hAnsi="Arial" w:cs="Arial"/>
        </w:rPr>
        <w:t>MEDUSA</w:t>
      </w:r>
      <w:r w:rsidRPr="00983DDE">
        <w:rPr>
          <w:rFonts w:ascii="Arial" w:hAnsi="Arial" w:cs="Arial"/>
        </w:rPr>
        <w:t>, a ser realizada</w:t>
      </w:r>
      <w:r>
        <w:rPr>
          <w:rFonts w:ascii="Arial" w:hAnsi="Arial" w:cs="Arial"/>
        </w:rPr>
        <w:t xml:space="preserve"> no carnaval</w:t>
      </w:r>
      <w:r w:rsidRPr="00983DDE">
        <w:rPr>
          <w:rFonts w:ascii="Arial" w:hAnsi="Arial" w:cs="Arial"/>
        </w:rPr>
        <w:t xml:space="preserve">, no dia </w:t>
      </w:r>
      <w:r>
        <w:rPr>
          <w:rFonts w:ascii="Arial" w:hAnsi="Arial" w:cs="Arial"/>
        </w:rPr>
        <w:t>01/03</w:t>
      </w:r>
      <w:r w:rsidRPr="00983DDE">
        <w:rPr>
          <w:rFonts w:ascii="Arial" w:hAnsi="Arial" w:cs="Arial"/>
        </w:rPr>
        <w:t>/202</w:t>
      </w:r>
      <w:r>
        <w:rPr>
          <w:rFonts w:ascii="Arial" w:hAnsi="Arial" w:cs="Arial"/>
        </w:rPr>
        <w:t>5</w:t>
      </w:r>
      <w:r w:rsidRPr="00983DDE">
        <w:rPr>
          <w:rFonts w:ascii="Arial" w:hAnsi="Arial" w:cs="Arial"/>
        </w:rPr>
        <w:t xml:space="preserve">, com duração de </w:t>
      </w:r>
      <w:r>
        <w:rPr>
          <w:rFonts w:ascii="Arial" w:hAnsi="Arial" w:cs="Arial"/>
        </w:rPr>
        <w:t>3</w:t>
      </w:r>
      <w:r w:rsidRPr="00983DDE">
        <w:rPr>
          <w:rFonts w:ascii="Arial" w:hAnsi="Arial" w:cs="Arial"/>
        </w:rPr>
        <w:t>hrs (</w:t>
      </w:r>
      <w:r>
        <w:rPr>
          <w:rFonts w:ascii="Arial" w:hAnsi="Arial" w:cs="Arial"/>
        </w:rPr>
        <w:t xml:space="preserve">três </w:t>
      </w:r>
      <w:r w:rsidRPr="00983DDE">
        <w:rPr>
          <w:rFonts w:ascii="Arial" w:hAnsi="Arial" w:cs="Arial"/>
        </w:rPr>
        <w:t>horas), no município de Santo Antônio do Grama/MG.</w:t>
      </w:r>
    </w:p>
    <w:p w:rsidR="00C44910" w:rsidRDefault="00C44910" w:rsidP="00C44910">
      <w:pPr>
        <w:jc w:val="both"/>
        <w:rPr>
          <w:rFonts w:ascii="Century Gothic" w:hAnsi="Century Gothic"/>
        </w:rPr>
      </w:pPr>
    </w:p>
    <w:p w:rsidR="00C44910" w:rsidRPr="008320A9" w:rsidRDefault="00C44910" w:rsidP="00C44910">
      <w:pPr>
        <w:jc w:val="both"/>
        <w:rPr>
          <w:rFonts w:ascii="Century Gothic" w:hAnsi="Century Gothic"/>
        </w:rPr>
      </w:pPr>
      <w:r w:rsidRPr="008320A9">
        <w:rPr>
          <w:rFonts w:ascii="Century Gothic" w:hAnsi="Century Gothic"/>
        </w:rPr>
        <w:t>DO FUNDAMENTO LEGAL</w:t>
      </w:r>
    </w:p>
    <w:p w:rsidR="00C44910" w:rsidRPr="008320A9" w:rsidRDefault="00C44910" w:rsidP="00C44910">
      <w:pPr>
        <w:spacing w:before="100" w:beforeAutospacing="1" w:after="100" w:afterAutospacing="1"/>
        <w:jc w:val="both"/>
        <w:rPr>
          <w:rFonts w:ascii="Century Gothic" w:hAnsi="Century Gothic"/>
        </w:rPr>
      </w:pPr>
      <w:r w:rsidRPr="008320A9">
        <w:rPr>
          <w:rFonts w:ascii="Century Gothic" w:hAnsi="Century Gothic"/>
        </w:rPr>
        <w:t>De plano, verifica-se que a nova legislação ainda não tornou mais objetivos e precisos os requisitos necessários à comprovação desta hipótese de inexigibilidade, uma vez que pouco modificou na descrição deste tipo de contratação direta, em comparação com a anterior redação, encontrada na Lei nº 8.666/1993.</w:t>
      </w:r>
    </w:p>
    <w:p w:rsidR="00C44910" w:rsidRPr="008320A9" w:rsidRDefault="00C44910" w:rsidP="00C44910">
      <w:pPr>
        <w:spacing w:before="100" w:beforeAutospacing="1" w:after="100" w:afterAutospacing="1"/>
        <w:jc w:val="both"/>
        <w:rPr>
          <w:rFonts w:ascii="Century Gothic" w:hAnsi="Century Gothic"/>
        </w:rPr>
      </w:pPr>
      <w:r w:rsidRPr="008320A9">
        <w:rPr>
          <w:rFonts w:ascii="Century Gothic" w:hAnsi="Century Gothic"/>
        </w:rPr>
        <w:t>Todavia, a nova lei incorporou a jurisprudência, já firmada, especialmente no âmbito dos Tribunais de Contas, acerca do significado da expressão “empresário exclusivo”. Nesse intento, o parágrafo 2º do referido art. 74 assim dispõe:</w:t>
      </w:r>
    </w:p>
    <w:p w:rsidR="00C44910" w:rsidRPr="000F4774" w:rsidRDefault="00C44910" w:rsidP="00C44910">
      <w:pPr>
        <w:spacing w:before="100" w:beforeAutospacing="1" w:after="100" w:afterAutospacing="1"/>
        <w:ind w:left="1134"/>
        <w:jc w:val="both"/>
        <w:rPr>
          <w:rFonts w:ascii="Times New Roman" w:hAnsi="Times New Roman" w:cs="Times New Roman"/>
          <w:i/>
          <w:iCs/>
        </w:rPr>
      </w:pPr>
      <w:r w:rsidRPr="000F4774">
        <w:rPr>
          <w:rFonts w:ascii="Times New Roman" w:hAnsi="Times New Roman" w:cs="Times New Roman"/>
          <w:i/>
          <w:iCs/>
        </w:rPr>
        <w:t>Art. 74. (…)</w:t>
      </w:r>
    </w:p>
    <w:p w:rsidR="00C44910" w:rsidRPr="000F4774" w:rsidRDefault="00C44910" w:rsidP="00C44910">
      <w:pPr>
        <w:spacing w:before="100" w:beforeAutospacing="1" w:after="100" w:afterAutospacing="1"/>
        <w:ind w:left="1134"/>
        <w:jc w:val="both"/>
        <w:rPr>
          <w:rFonts w:ascii="Times New Roman" w:hAnsi="Times New Roman" w:cs="Times New Roman"/>
          <w:i/>
          <w:iCs/>
        </w:rPr>
      </w:pPr>
      <w:r w:rsidRPr="000F4774">
        <w:rPr>
          <w:rFonts w:ascii="Times New Roman" w:hAnsi="Times New Roman" w:cs="Times New Roman"/>
          <w:i/>
          <w:iCs/>
        </w:rPr>
        <w:t>(...)</w:t>
      </w:r>
    </w:p>
    <w:p w:rsidR="00C44910" w:rsidRPr="008320A9" w:rsidRDefault="00C44910" w:rsidP="00C44910">
      <w:pPr>
        <w:spacing w:before="100" w:beforeAutospacing="1" w:after="100" w:afterAutospacing="1"/>
        <w:jc w:val="both"/>
        <w:rPr>
          <w:rFonts w:ascii="Century Gothic" w:hAnsi="Century Gothic"/>
        </w:rPr>
      </w:pPr>
      <w:r w:rsidRPr="008320A9">
        <w:rPr>
          <w:rFonts w:ascii="Century Gothic" w:hAnsi="Century Gothic"/>
        </w:rPr>
        <w:t>No entanto, ainda nas hipóteses de inexigibilidade, o administrador público não está livre para a contratação. É preciso a observância de determinados requisitos legais e constitucionais, tudo devidamente demonstrado em processo formal de inexigibilidade.</w:t>
      </w:r>
    </w:p>
    <w:p w:rsidR="00C44910" w:rsidRPr="008320A9" w:rsidRDefault="00C44910" w:rsidP="00C44910">
      <w:pPr>
        <w:spacing w:before="100" w:beforeAutospacing="1" w:after="100" w:afterAutospacing="1"/>
        <w:jc w:val="both"/>
        <w:rPr>
          <w:rFonts w:ascii="Century Gothic" w:hAnsi="Century Gothic"/>
        </w:rPr>
      </w:pPr>
      <w:r w:rsidRPr="008320A9">
        <w:rPr>
          <w:rFonts w:ascii="Century Gothic" w:hAnsi="Century Gothic"/>
        </w:rPr>
        <w:t>Neste ínterim, temos que o Plano de Contratações Anual – PCA – é facultativo (inciso VII do art. 12 da Lei nº. 14.133/2021), e o Município de Santo Antônio do Grama não providenciou para este exercício financeiro.</w:t>
      </w:r>
    </w:p>
    <w:p w:rsidR="00C44910" w:rsidRPr="008320A9" w:rsidRDefault="00C44910" w:rsidP="00C44910">
      <w:pPr>
        <w:spacing w:before="100" w:beforeAutospacing="1" w:after="100" w:afterAutospacing="1"/>
        <w:jc w:val="both"/>
        <w:rPr>
          <w:rFonts w:ascii="Century Gothic" w:hAnsi="Century Gothic"/>
        </w:rPr>
      </w:pPr>
      <w:r w:rsidRPr="008320A9">
        <w:rPr>
          <w:rFonts w:ascii="Century Gothic" w:hAnsi="Century Gothic"/>
        </w:rPr>
        <w:t>Destarte, temos que a contratação deverá observar os seguintes requisitos: sustentabilidade ambiental.</w:t>
      </w:r>
    </w:p>
    <w:p w:rsidR="00C44910" w:rsidRPr="008320A9" w:rsidRDefault="00C44910" w:rsidP="00C44910">
      <w:pPr>
        <w:spacing w:before="100" w:beforeAutospacing="1" w:after="100" w:afterAutospacing="1"/>
        <w:jc w:val="both"/>
        <w:rPr>
          <w:rFonts w:ascii="Century Gothic" w:hAnsi="Century Gothic"/>
        </w:rPr>
      </w:pPr>
      <w:r w:rsidRPr="008320A9">
        <w:rPr>
          <w:rFonts w:ascii="Century Gothic" w:hAnsi="Century Gothic"/>
        </w:rPr>
        <w:t>Ainda, quanto a exigência da garantia da contratação de que trata o art. 96 e seguintes da Lei nº 14.133/2021 em razão da natureza predominantemente intelectual dos serviços técnicos especializados que serão prestados de forma mensal, o que traz risco baixo de não prestação dos serviços.</w:t>
      </w:r>
    </w:p>
    <w:p w:rsidR="00C44910" w:rsidRPr="008320A9" w:rsidRDefault="00C44910" w:rsidP="00C44910">
      <w:pPr>
        <w:spacing w:before="100" w:beforeAutospacing="1" w:after="100" w:afterAutospacing="1"/>
        <w:jc w:val="both"/>
        <w:rPr>
          <w:rFonts w:ascii="Century Gothic" w:hAnsi="Century Gothic"/>
        </w:rPr>
      </w:pPr>
      <w:r w:rsidRPr="008320A9">
        <w:rPr>
          <w:rFonts w:ascii="Century Gothic" w:hAnsi="Century Gothic"/>
        </w:rPr>
        <w:t>Noutro giro, pela redação do art. 74 da Lei de Licitações, para a contratação de profissional do setor artístico é preciso:</w:t>
      </w:r>
    </w:p>
    <w:p w:rsidR="00C44910" w:rsidRPr="008F3708" w:rsidRDefault="00C44910" w:rsidP="00C44910">
      <w:pPr>
        <w:pStyle w:val="PargrafodaLista"/>
        <w:numPr>
          <w:ilvl w:val="0"/>
          <w:numId w:val="1"/>
        </w:numPr>
        <w:spacing w:before="100" w:beforeAutospacing="1" w:after="100" w:afterAutospacing="1"/>
        <w:rPr>
          <w:rFonts w:ascii="Century Gothic" w:hAnsi="Century Gothic"/>
        </w:rPr>
      </w:pPr>
      <w:r w:rsidRPr="008320A9">
        <w:rPr>
          <w:rFonts w:ascii="Century Gothic" w:hAnsi="Century Gothic"/>
        </w:rPr>
        <w:lastRenderedPageBreak/>
        <w:t>Contrato firmado pelo próprio c</w:t>
      </w:r>
      <w:r>
        <w:rPr>
          <w:rFonts w:ascii="Century Gothic" w:hAnsi="Century Gothic"/>
        </w:rPr>
        <w:t>ontratado ou por meio de empresa de  exclusividade</w:t>
      </w:r>
      <w:r w:rsidRPr="008F3708">
        <w:rPr>
          <w:rFonts w:ascii="Century Gothic" w:hAnsi="Century Gothic"/>
        </w:rPr>
        <w:t>;</w:t>
      </w:r>
    </w:p>
    <w:p w:rsidR="00C44910" w:rsidRPr="008320A9" w:rsidRDefault="00C44910" w:rsidP="00C44910">
      <w:pPr>
        <w:pStyle w:val="PargrafodaLista"/>
        <w:numPr>
          <w:ilvl w:val="0"/>
          <w:numId w:val="1"/>
        </w:numPr>
        <w:spacing w:before="100" w:beforeAutospacing="1" w:after="100" w:afterAutospacing="1"/>
        <w:rPr>
          <w:rFonts w:ascii="Century Gothic" w:hAnsi="Century Gothic"/>
        </w:rPr>
      </w:pPr>
      <w:r w:rsidRPr="008320A9">
        <w:rPr>
          <w:rFonts w:ascii="Century Gothic" w:hAnsi="Century Gothic"/>
        </w:rPr>
        <w:t>Consagração do artista pela crítica especializada ou pela opinião pública;</w:t>
      </w:r>
    </w:p>
    <w:p w:rsidR="00C44910" w:rsidRPr="008320A9" w:rsidRDefault="00C44910" w:rsidP="00C44910">
      <w:pPr>
        <w:pStyle w:val="PargrafodaLista"/>
        <w:numPr>
          <w:ilvl w:val="0"/>
          <w:numId w:val="1"/>
        </w:numPr>
        <w:spacing w:before="100" w:beforeAutospacing="1" w:after="100" w:afterAutospacing="1"/>
        <w:rPr>
          <w:rFonts w:ascii="Century Gothic" w:hAnsi="Century Gothic"/>
        </w:rPr>
      </w:pPr>
      <w:r w:rsidRPr="008320A9">
        <w:rPr>
          <w:rFonts w:ascii="Century Gothic" w:hAnsi="Century Gothic"/>
        </w:rPr>
        <w:t>Valor praticado no mercado pelo contratado</w:t>
      </w:r>
    </w:p>
    <w:p w:rsidR="00C44910" w:rsidRPr="008320A9" w:rsidRDefault="00C44910" w:rsidP="00C44910">
      <w:pPr>
        <w:spacing w:before="100" w:beforeAutospacing="1" w:after="100" w:afterAutospacing="1"/>
        <w:jc w:val="both"/>
        <w:rPr>
          <w:rFonts w:ascii="Century Gothic" w:hAnsi="Century Gothic"/>
        </w:rPr>
      </w:pPr>
      <w:r>
        <w:rPr>
          <w:rFonts w:ascii="Century Gothic" w:hAnsi="Century Gothic"/>
        </w:rPr>
        <w:t>Neste contexto, temos que a  empresa “ 23.910.012  SILVANA MONTEIRO MARTINS”</w:t>
      </w:r>
      <w:r w:rsidRPr="00582222">
        <w:rPr>
          <w:rFonts w:ascii="Century Gothic" w:hAnsi="Century Gothic"/>
          <w:color w:val="FF0000"/>
        </w:rPr>
        <w:t xml:space="preserve">, </w:t>
      </w:r>
      <w:r>
        <w:rPr>
          <w:rFonts w:ascii="Century Gothic" w:hAnsi="Century Gothic"/>
        </w:rPr>
        <w:t>esta representada pelo Sr.(a) SILVANA MONTEIRO MARTINS,</w:t>
      </w:r>
      <w:r w:rsidRPr="008320A9">
        <w:rPr>
          <w:rFonts w:ascii="Century Gothic" w:hAnsi="Century Gothic"/>
        </w:rPr>
        <w:t xml:space="preserve"> pessoa jurídica de direito privado, inscrito no </w:t>
      </w:r>
      <w:r>
        <w:rPr>
          <w:rFonts w:ascii="Century Gothic" w:hAnsi="Century Gothic"/>
        </w:rPr>
        <w:t xml:space="preserve">CNPJ </w:t>
      </w:r>
      <w:r w:rsidRPr="008320A9">
        <w:rPr>
          <w:rFonts w:ascii="Century Gothic" w:hAnsi="Century Gothic"/>
        </w:rPr>
        <w:t>sob o nº</w:t>
      </w:r>
      <w:r>
        <w:rPr>
          <w:rFonts w:ascii="Century Gothic" w:hAnsi="Century Gothic"/>
        </w:rPr>
        <w:t xml:space="preserve"> 23.910.012/0001-59</w:t>
      </w:r>
      <w:r w:rsidRPr="008320A9">
        <w:rPr>
          <w:rFonts w:ascii="Century Gothic" w:hAnsi="Century Gothic"/>
        </w:rPr>
        <w:t xml:space="preserve">, com sede na </w:t>
      </w:r>
      <w:r w:rsidRPr="00C44910">
        <w:rPr>
          <w:rFonts w:ascii="Century Gothic" w:hAnsi="Century Gothic"/>
        </w:rPr>
        <w:t xml:space="preserve">Rua Antonio Teixeira Ferraz, nº 95, Bairro Alvorada, Belo Horizonte/MG, CEP: 32.041-520, portador do CPF sob o nº 778.753.036-72, </w:t>
      </w:r>
      <w:r w:rsidRPr="008320A9">
        <w:rPr>
          <w:rFonts w:ascii="Century Gothic" w:hAnsi="Century Gothic"/>
        </w:rPr>
        <w:t>devidamente comprovado com o atestado de exclusividade para representar a</w:t>
      </w:r>
      <w:r>
        <w:rPr>
          <w:rFonts w:ascii="Century Gothic" w:hAnsi="Century Gothic"/>
        </w:rPr>
        <w:t xml:space="preserve"> empresa</w:t>
      </w:r>
      <w:r w:rsidRPr="008320A9">
        <w:rPr>
          <w:rFonts w:ascii="Century Gothic" w:hAnsi="Century Gothic"/>
        </w:rPr>
        <w:t>, nos moldes estabelecidos na Lei Federal nº 14.133/2021.</w:t>
      </w:r>
    </w:p>
    <w:p w:rsidR="00C44910" w:rsidRPr="008320A9" w:rsidRDefault="00C44910" w:rsidP="00C44910">
      <w:pPr>
        <w:spacing w:before="100" w:beforeAutospacing="1" w:after="100" w:afterAutospacing="1"/>
        <w:jc w:val="both"/>
        <w:rPr>
          <w:rFonts w:ascii="Century Gothic" w:hAnsi="Century Gothic"/>
        </w:rPr>
      </w:pPr>
      <w:r w:rsidRPr="008320A9">
        <w:rPr>
          <w:rFonts w:ascii="Century Gothic" w:hAnsi="Century Gothic"/>
        </w:rPr>
        <w:t>Pelos docu</w:t>
      </w:r>
      <w:r>
        <w:rPr>
          <w:rFonts w:ascii="Century Gothic" w:hAnsi="Century Gothic"/>
        </w:rPr>
        <w:t xml:space="preserve">mentos anexos, temos que o Cantor </w:t>
      </w:r>
      <w:r w:rsidRPr="008320A9">
        <w:rPr>
          <w:rFonts w:ascii="Century Gothic" w:hAnsi="Century Gothic"/>
        </w:rPr>
        <w:t xml:space="preserve"> possui consagração, justificando desta forma a possibilidade de sua contratação.</w:t>
      </w:r>
    </w:p>
    <w:p w:rsidR="00C44910" w:rsidRPr="008320A9" w:rsidRDefault="00C44910" w:rsidP="00C44910">
      <w:pPr>
        <w:spacing w:before="100" w:beforeAutospacing="1" w:after="100" w:afterAutospacing="1"/>
        <w:jc w:val="both"/>
        <w:rPr>
          <w:rFonts w:ascii="Century Gothic" w:hAnsi="Century Gothic"/>
        </w:rPr>
      </w:pPr>
      <w:r w:rsidRPr="008320A9">
        <w:rPr>
          <w:rFonts w:ascii="Century Gothic" w:hAnsi="Century Gothic"/>
        </w:rPr>
        <w:t xml:space="preserve">Outro ponto de importância esta elencada quanto ao valor pretendido pela contratação. Os documentos fiscais emitidos em outros </w:t>
      </w:r>
      <w:r>
        <w:rPr>
          <w:rFonts w:ascii="Century Gothic" w:hAnsi="Century Gothic"/>
        </w:rPr>
        <w:t>serviços</w:t>
      </w:r>
      <w:r w:rsidRPr="008320A9">
        <w:rPr>
          <w:rFonts w:ascii="Century Gothic" w:hAnsi="Century Gothic"/>
        </w:rPr>
        <w:t xml:space="preserve"> em anexos, comprovam que os preços praticados estão em conformidade com o praticado, atendendo o disposto no Art. 23 da Lei Federal nº 14.133/2021, que assim prescreve:</w:t>
      </w:r>
    </w:p>
    <w:p w:rsidR="00C44910" w:rsidRDefault="00C44910" w:rsidP="00C44910">
      <w:pPr>
        <w:pStyle w:val="NormalWeb"/>
        <w:spacing w:before="225" w:beforeAutospacing="0" w:after="225" w:afterAutospacing="0"/>
        <w:ind w:left="1134"/>
        <w:jc w:val="both"/>
        <w:rPr>
          <w:color w:val="000000"/>
          <w:sz w:val="27"/>
          <w:szCs w:val="27"/>
        </w:rPr>
      </w:pPr>
      <w:r>
        <w:rPr>
          <w:rFonts w:ascii="Arial" w:hAnsi="Arial" w:cs="Arial"/>
          <w:color w:val="000000"/>
          <w:sz w:val="20"/>
          <w:szCs w:val="20"/>
        </w:rPr>
        <w:t>Art. 23.</w:t>
      </w:r>
      <w:r>
        <w:rPr>
          <w:rFonts w:ascii="Arial" w:hAnsi="Arial" w:cs="Arial"/>
          <w:b/>
          <w:bCs/>
          <w:color w:val="000000"/>
          <w:sz w:val="20"/>
          <w:szCs w:val="20"/>
        </w:rPr>
        <w:t> </w:t>
      </w:r>
      <w:r>
        <w:rPr>
          <w:rFonts w:ascii="Arial" w:hAnsi="Arial" w:cs="Arial"/>
          <w:color w:val="000000"/>
          <w:sz w:val="20"/>
          <w:szCs w:val="20"/>
        </w:rPr>
        <w:t>O valor previamente estimado da contratação deverá ser compatível com os valores praticados pelo mercado, considerados os preços constantes de bancos de dados públicos e as quantidades a serem contratadas, observadas a potencial economia de escala e as peculiaridades do local de execução do objeto.</w:t>
      </w:r>
    </w:p>
    <w:p w:rsidR="00C44910" w:rsidRDefault="00C44910" w:rsidP="00C44910">
      <w:pPr>
        <w:pStyle w:val="NormalWeb"/>
        <w:spacing w:before="225" w:beforeAutospacing="0" w:after="225" w:afterAutospacing="0"/>
        <w:ind w:left="1134"/>
        <w:jc w:val="both"/>
        <w:rPr>
          <w:color w:val="000000"/>
          <w:sz w:val="27"/>
          <w:szCs w:val="27"/>
        </w:rPr>
      </w:pPr>
      <w:bookmarkStart w:id="0" w:name="art23§1"/>
      <w:bookmarkEnd w:id="0"/>
      <w:r>
        <w:rPr>
          <w:rFonts w:ascii="Arial" w:hAnsi="Arial" w:cs="Arial"/>
          <w:color w:val="000000"/>
          <w:sz w:val="20"/>
          <w:szCs w:val="20"/>
        </w:rPr>
        <w:t>….</w:t>
      </w:r>
    </w:p>
    <w:p w:rsidR="00C44910" w:rsidRDefault="00C44910" w:rsidP="00C44910">
      <w:pPr>
        <w:pStyle w:val="NormalWeb"/>
        <w:spacing w:before="225" w:beforeAutospacing="0" w:after="225" w:afterAutospacing="0"/>
        <w:ind w:left="1134"/>
        <w:jc w:val="both"/>
        <w:rPr>
          <w:color w:val="000000"/>
          <w:sz w:val="27"/>
          <w:szCs w:val="27"/>
        </w:rPr>
      </w:pPr>
      <w:bookmarkStart w:id="1" w:name="art23§4"/>
      <w:bookmarkEnd w:id="1"/>
      <w:r>
        <w:rPr>
          <w:rFonts w:ascii="Arial" w:hAnsi="Arial" w:cs="Arial"/>
          <w:color w:val="000000"/>
          <w:sz w:val="20"/>
          <w:szCs w:val="20"/>
        </w:rPr>
        <w:t>§ 4º Nas contratações diretas por inexigibilidade ou por dispensa, quando não for possível estimar o valor do objeto na forma estabelecida nos §§ 1º, 2º e 3º deste artigo, o contratado deverá comprovar previamente que os preços estão em conformidade com os praticados em contratações semelhantes de objetos de mesma natureza, por meio da apresentação de notas fiscais emitidas para outros contratantes no período de até 1 (um) ano anterior à data da contratação pela Administração, ou por outro meio idôneo.</w:t>
      </w:r>
    </w:p>
    <w:p w:rsidR="00C44910" w:rsidRPr="008320A9" w:rsidRDefault="00C44910" w:rsidP="00C44910">
      <w:pPr>
        <w:spacing w:before="100" w:beforeAutospacing="1" w:after="100" w:afterAutospacing="1"/>
        <w:jc w:val="both"/>
        <w:rPr>
          <w:rFonts w:ascii="Century Gothic" w:hAnsi="Century Gothic"/>
        </w:rPr>
      </w:pPr>
      <w:r>
        <w:rPr>
          <w:rFonts w:ascii="Century Gothic" w:hAnsi="Century Gothic"/>
        </w:rPr>
        <w:t>Nesta to</w:t>
      </w:r>
      <w:r w:rsidRPr="008320A9">
        <w:rPr>
          <w:rFonts w:ascii="Century Gothic" w:hAnsi="Century Gothic"/>
        </w:rPr>
        <w:t>da, os documentos apresentados pela empresa, atendem as disposições legais, cuja proposta esta em conformidade com a legislação.</w:t>
      </w:r>
    </w:p>
    <w:p w:rsidR="00C44910" w:rsidRPr="008320A9" w:rsidRDefault="00C44910" w:rsidP="00C44910">
      <w:pPr>
        <w:spacing w:before="100" w:beforeAutospacing="1" w:after="100" w:afterAutospacing="1"/>
        <w:jc w:val="both"/>
        <w:rPr>
          <w:rFonts w:ascii="Century Gothic" w:hAnsi="Century Gothic"/>
        </w:rPr>
      </w:pPr>
      <w:r w:rsidRPr="008320A9">
        <w:rPr>
          <w:rFonts w:ascii="Century Gothic" w:hAnsi="Century Gothic"/>
        </w:rPr>
        <w:t>Desse modo, frise-se, apesar de ser inexigível o processo de licitação propriamente dito, a Administração não está totalmente livre para a escolha do contratado, devendo haver um mínimo de formalidade para possibilitar a aferição dos requisitos, os quais devem estar prontamente evidenciados no bojo do processo de inexigibilidade.</w:t>
      </w:r>
    </w:p>
    <w:p w:rsidR="00C44910" w:rsidRPr="008320A9" w:rsidRDefault="00C44910" w:rsidP="00C44910">
      <w:pPr>
        <w:spacing w:before="100" w:beforeAutospacing="1" w:after="100" w:afterAutospacing="1"/>
        <w:jc w:val="both"/>
        <w:rPr>
          <w:rFonts w:ascii="Century Gothic" w:hAnsi="Century Gothic"/>
        </w:rPr>
      </w:pPr>
      <w:r w:rsidRPr="008320A9">
        <w:rPr>
          <w:rFonts w:ascii="Century Gothic" w:hAnsi="Century Gothic"/>
        </w:rPr>
        <w:t xml:space="preserve">Com efeito, além dos requisitos do art. 74, é imprescindível a publicação, na imprensa oficial, da inexigibilidade, da justificativa da escolha do contratado e </w:t>
      </w:r>
      <w:r w:rsidRPr="008320A9">
        <w:rPr>
          <w:rFonts w:ascii="Century Gothic" w:hAnsi="Century Gothic"/>
        </w:rPr>
        <w:lastRenderedPageBreak/>
        <w:t>da justificativa do seu preço, evitando-se prejuízos ao erário em razão de superfaturamentos, o que neste caso, temos as comprovações requeridas na legislação.</w:t>
      </w:r>
    </w:p>
    <w:p w:rsidR="00C44910" w:rsidRDefault="00C44910" w:rsidP="00C44910">
      <w:pPr>
        <w:spacing w:before="100" w:beforeAutospacing="1" w:after="100" w:afterAutospacing="1"/>
        <w:jc w:val="both"/>
        <w:rPr>
          <w:rFonts w:ascii="Century Gothic" w:hAnsi="Century Gothic"/>
        </w:rPr>
      </w:pPr>
      <w:r w:rsidRPr="008320A9">
        <w:rPr>
          <w:rFonts w:ascii="Century Gothic" w:hAnsi="Century Gothic"/>
        </w:rPr>
        <w:t>DA JUSTIFICATIVA DAS NECESSIDADES</w:t>
      </w:r>
    </w:p>
    <w:p w:rsidR="00C44910" w:rsidRPr="008320A9" w:rsidRDefault="00C44910" w:rsidP="00C44910">
      <w:pPr>
        <w:spacing w:before="100" w:beforeAutospacing="1" w:after="100" w:afterAutospacing="1"/>
        <w:jc w:val="both"/>
        <w:rPr>
          <w:rFonts w:ascii="Century Gothic" w:hAnsi="Century Gothic"/>
        </w:rPr>
      </w:pPr>
      <w:r w:rsidRPr="008320A9">
        <w:rPr>
          <w:rFonts w:ascii="Century Gothic" w:hAnsi="Century Gothic"/>
        </w:rPr>
        <w:t>A Festa Carnavalesca constitui uma grande comemoração na cidade de Santo Antônio do Grama, promovendo o bem-estar social e cultural, contribuindo para a valorização das raízes do povo de nossa cidade e região, objetivando a tradicional festa. Fazendo necessária a presente contratação, que será utilizado no dia da festividade.</w:t>
      </w:r>
    </w:p>
    <w:p w:rsidR="00C44910" w:rsidRPr="008320A9" w:rsidRDefault="00C44910" w:rsidP="00C44910">
      <w:pPr>
        <w:spacing w:before="100" w:beforeAutospacing="1" w:after="100" w:afterAutospacing="1"/>
        <w:jc w:val="both"/>
        <w:rPr>
          <w:rFonts w:ascii="Century Gothic" w:hAnsi="Century Gothic"/>
        </w:rPr>
      </w:pPr>
      <w:r w:rsidRPr="008320A9">
        <w:rPr>
          <w:rFonts w:ascii="Century Gothic" w:hAnsi="Century Gothic"/>
        </w:rPr>
        <w:t>A contribuição da administração passa pela adequação das estruturas municipais, sejam elas viárias ou de urbanismo, como meio de garantir o perfeito entretenimento da população e proteção dos bens públicos.</w:t>
      </w:r>
    </w:p>
    <w:p w:rsidR="00C44910" w:rsidRPr="008320A9" w:rsidRDefault="00C44910" w:rsidP="00C44910">
      <w:pPr>
        <w:spacing w:before="100" w:beforeAutospacing="1" w:after="100" w:afterAutospacing="1"/>
        <w:jc w:val="both"/>
        <w:rPr>
          <w:rFonts w:ascii="Century Gothic" w:hAnsi="Century Gothic"/>
        </w:rPr>
      </w:pPr>
      <w:r w:rsidRPr="008320A9">
        <w:rPr>
          <w:rFonts w:ascii="Century Gothic" w:hAnsi="Century Gothic"/>
        </w:rPr>
        <w:t>Como forma de promover o evento, e assegurar o retorno social e econômico ao município, através do fomento indireto ao comércio local, vê-se a necessidade de contratação de bandas artísticas de renome nacional e regional como meio de se exercer o fascínio do público aos eventos em questão.</w:t>
      </w:r>
    </w:p>
    <w:p w:rsidR="00C44910" w:rsidRPr="008320A9" w:rsidRDefault="00C44910" w:rsidP="00C44910">
      <w:pPr>
        <w:spacing w:before="100" w:beforeAutospacing="1" w:after="100" w:afterAutospacing="1"/>
        <w:jc w:val="both"/>
        <w:rPr>
          <w:rFonts w:ascii="Century Gothic" w:hAnsi="Century Gothic"/>
        </w:rPr>
      </w:pPr>
      <w:r w:rsidRPr="008320A9">
        <w:rPr>
          <w:rFonts w:ascii="Century Gothic" w:hAnsi="Century Gothic"/>
        </w:rPr>
        <w:t>A contratação supra, não desenvolverá impactos ambientas e respectivas medidas mitigadoras.</w:t>
      </w:r>
    </w:p>
    <w:p w:rsidR="00C44910" w:rsidRDefault="00C44910" w:rsidP="00C44910">
      <w:pPr>
        <w:spacing w:before="100" w:beforeAutospacing="1" w:after="100" w:afterAutospacing="1"/>
        <w:jc w:val="both"/>
        <w:rPr>
          <w:rFonts w:ascii="Century Gothic" w:hAnsi="Century Gothic"/>
        </w:rPr>
      </w:pPr>
      <w:r>
        <w:rPr>
          <w:rFonts w:ascii="Century Gothic" w:hAnsi="Century Gothic"/>
        </w:rPr>
        <w:t>VALOR DA CONTRATAÇÃO</w:t>
      </w:r>
    </w:p>
    <w:p w:rsidR="00C44910" w:rsidRDefault="00C44910" w:rsidP="00C44910">
      <w:pPr>
        <w:spacing w:before="100" w:beforeAutospacing="1" w:after="100" w:afterAutospacing="1"/>
        <w:jc w:val="both"/>
        <w:rPr>
          <w:rFonts w:ascii="Century Gothic" w:hAnsi="Century Gothic"/>
        </w:rPr>
      </w:pPr>
      <w:r>
        <w:rPr>
          <w:rFonts w:ascii="Century Gothic" w:hAnsi="Century Gothic"/>
        </w:rPr>
        <w:t>Tem como estimativa de preço o valor R$ 15.000,00(quinze mil reais)</w:t>
      </w:r>
    </w:p>
    <w:p w:rsidR="00C44910" w:rsidRPr="008320A9" w:rsidRDefault="00C44910" w:rsidP="00C44910">
      <w:pPr>
        <w:spacing w:before="100" w:beforeAutospacing="1" w:after="100" w:afterAutospacing="1"/>
        <w:jc w:val="both"/>
        <w:rPr>
          <w:rFonts w:ascii="Century Gothic" w:hAnsi="Century Gothic"/>
        </w:rPr>
      </w:pPr>
      <w:r w:rsidRPr="008320A9">
        <w:rPr>
          <w:rFonts w:ascii="Century Gothic" w:hAnsi="Century Gothic"/>
        </w:rPr>
        <w:t>FORMA DE PAGAMENTO</w:t>
      </w:r>
    </w:p>
    <w:p w:rsidR="00C44910" w:rsidRDefault="00C44910" w:rsidP="00C44910">
      <w:pPr>
        <w:spacing w:before="100" w:beforeAutospacing="1" w:after="100" w:afterAutospacing="1"/>
        <w:jc w:val="both"/>
        <w:rPr>
          <w:rFonts w:ascii="Century Gothic" w:hAnsi="Century Gothic"/>
        </w:rPr>
      </w:pPr>
      <w:r>
        <w:rPr>
          <w:rFonts w:ascii="Century Gothic" w:hAnsi="Century Gothic"/>
        </w:rPr>
        <w:t>O pagamento a licitante CONTRATADA será condicionado a consulta da situação da regularidade fiscal e trabalhista.</w:t>
      </w:r>
    </w:p>
    <w:p w:rsidR="00C44910" w:rsidRDefault="00C44910" w:rsidP="00C44910">
      <w:pPr>
        <w:spacing w:before="100" w:beforeAutospacing="1" w:after="100" w:afterAutospacing="1"/>
        <w:jc w:val="both"/>
        <w:rPr>
          <w:rFonts w:ascii="Century Gothic" w:hAnsi="Century Gothic"/>
        </w:rPr>
      </w:pPr>
      <w:r>
        <w:rPr>
          <w:rFonts w:ascii="Century Gothic" w:hAnsi="Century Gothic"/>
        </w:rPr>
        <w:t xml:space="preserve">Opagamento será efetuado pela Prefeitura Municipal, no prazo </w:t>
      </w:r>
      <w:r w:rsidRPr="00C44910">
        <w:rPr>
          <w:rFonts w:ascii="Century Gothic" w:hAnsi="Century Gothic"/>
        </w:rPr>
        <w:t xml:space="preserve">de 30 dias </w:t>
      </w:r>
      <w:r>
        <w:rPr>
          <w:rFonts w:ascii="Century Gothic" w:hAnsi="Century Gothic"/>
        </w:rPr>
        <w:t>corridos, contados do recebimento da nota fiscal/ fatura, caso não haja nenhuma pendencia fiscal ou de execução por parte da Contratada.</w:t>
      </w:r>
    </w:p>
    <w:p w:rsidR="00C44910" w:rsidRPr="008320A9" w:rsidRDefault="00C44910" w:rsidP="00C44910">
      <w:pPr>
        <w:spacing w:before="100" w:beforeAutospacing="1" w:after="100" w:afterAutospacing="1"/>
        <w:jc w:val="both"/>
        <w:rPr>
          <w:rFonts w:ascii="Century Gothic" w:hAnsi="Century Gothic"/>
        </w:rPr>
      </w:pPr>
      <w:r w:rsidRPr="008320A9">
        <w:rPr>
          <w:rFonts w:ascii="Century Gothic" w:hAnsi="Century Gothic"/>
        </w:rPr>
        <w:t>DAS INFRAÇÕES E DAS SANÇÕES ADMINISTRATIVAS</w:t>
      </w:r>
    </w:p>
    <w:p w:rsidR="00C44910" w:rsidRPr="008320A9" w:rsidRDefault="00C44910" w:rsidP="00C44910">
      <w:pPr>
        <w:spacing w:before="100" w:beforeAutospacing="1" w:after="100" w:afterAutospacing="1"/>
        <w:jc w:val="both"/>
        <w:rPr>
          <w:rFonts w:ascii="Century Gothic" w:hAnsi="Century Gothic"/>
        </w:rPr>
      </w:pPr>
      <w:r w:rsidRPr="008320A9">
        <w:rPr>
          <w:rFonts w:ascii="Century Gothic" w:hAnsi="Century Gothic"/>
        </w:rPr>
        <w:t>A disciplina das infrações e sanções administrativas aplicáveis no curso da LICITAÇÃO e da CONTRATAÇÃO e aquela prevista no Edital e Contrato.</w:t>
      </w:r>
    </w:p>
    <w:p w:rsidR="00C44910" w:rsidRPr="008320A9" w:rsidRDefault="00C44910" w:rsidP="00C44910">
      <w:pPr>
        <w:spacing w:before="100" w:beforeAutospacing="1" w:after="100" w:afterAutospacing="1"/>
        <w:jc w:val="both"/>
        <w:rPr>
          <w:rFonts w:ascii="Century Gothic" w:hAnsi="Century Gothic"/>
        </w:rPr>
      </w:pPr>
      <w:r w:rsidRPr="008320A9">
        <w:rPr>
          <w:rFonts w:ascii="Century Gothic" w:hAnsi="Century Gothic"/>
        </w:rPr>
        <w:t>DECLARAÇÃO DE VIABILIDADE DA CONTRATAÇÃO</w:t>
      </w:r>
    </w:p>
    <w:p w:rsidR="00C44910" w:rsidRDefault="00C44910" w:rsidP="00C44910">
      <w:pPr>
        <w:spacing w:before="100" w:beforeAutospacing="1" w:after="100" w:afterAutospacing="1"/>
        <w:jc w:val="both"/>
        <w:rPr>
          <w:rFonts w:ascii="Century Gothic" w:hAnsi="Century Gothic"/>
        </w:rPr>
      </w:pPr>
      <w:r w:rsidRPr="008320A9">
        <w:rPr>
          <w:rFonts w:ascii="Century Gothic" w:hAnsi="Century Gothic"/>
        </w:rPr>
        <w:t xml:space="preserve">Declaramos, com base no estudo realizado, que a contratação pleiteada é viável, necessária e adequada para suprir as necessidades da Prefeitura </w:t>
      </w:r>
      <w:r w:rsidRPr="008320A9">
        <w:rPr>
          <w:rFonts w:ascii="Century Gothic" w:hAnsi="Century Gothic"/>
        </w:rPr>
        <w:lastRenderedPageBreak/>
        <w:t>Municipal de Santo Antônio do Grama, a conclusão que se chega neste ETP é de que o mais adequado é a abertura de Inexigibilidade (Inciso II do art. 74 da Lei nº. 14.133/2021).</w:t>
      </w:r>
    </w:p>
    <w:p w:rsidR="00C44910" w:rsidRDefault="00C44910" w:rsidP="00C44910">
      <w:pPr>
        <w:spacing w:before="100" w:beforeAutospacing="1" w:after="100" w:afterAutospacing="1"/>
        <w:jc w:val="both"/>
        <w:rPr>
          <w:rFonts w:ascii="Century Gothic" w:hAnsi="Century Gothic"/>
        </w:rPr>
      </w:pPr>
    </w:p>
    <w:p w:rsidR="00C44910" w:rsidRPr="008320A9" w:rsidRDefault="00C44910" w:rsidP="00C44910">
      <w:pPr>
        <w:spacing w:before="100" w:beforeAutospacing="1" w:after="100" w:afterAutospacing="1"/>
        <w:jc w:val="both"/>
        <w:rPr>
          <w:rFonts w:ascii="Century Gothic" w:hAnsi="Century Gothic"/>
        </w:rPr>
      </w:pPr>
    </w:p>
    <w:p w:rsidR="00C44910" w:rsidRPr="00C44910" w:rsidRDefault="00C44910" w:rsidP="00C44910">
      <w:pPr>
        <w:spacing w:before="100" w:beforeAutospacing="1" w:after="100" w:afterAutospacing="1"/>
        <w:jc w:val="center"/>
        <w:rPr>
          <w:rFonts w:ascii="Century Gothic" w:hAnsi="Century Gothic"/>
        </w:rPr>
      </w:pPr>
      <w:r>
        <w:rPr>
          <w:rFonts w:ascii="Century Gothic" w:hAnsi="Century Gothic"/>
        </w:rPr>
        <w:t xml:space="preserve">Santo Antônio do Grama, 05 de dezembro </w:t>
      </w:r>
      <w:r w:rsidRPr="00C44910">
        <w:rPr>
          <w:rFonts w:ascii="Century Gothic" w:hAnsi="Century Gothic"/>
        </w:rPr>
        <w:t>de 2024.</w:t>
      </w:r>
    </w:p>
    <w:p w:rsidR="00C44910" w:rsidRDefault="00C44910" w:rsidP="00C44910">
      <w:pPr>
        <w:spacing w:before="100" w:beforeAutospacing="1" w:after="100" w:afterAutospacing="1"/>
        <w:jc w:val="center"/>
        <w:rPr>
          <w:rFonts w:ascii="Century Gothic" w:hAnsi="Century Gothic"/>
          <w:color w:val="FF0000"/>
        </w:rPr>
      </w:pPr>
      <w:bookmarkStart w:id="2" w:name="_GoBack"/>
      <w:bookmarkEnd w:id="2"/>
    </w:p>
    <w:p w:rsidR="00C44910" w:rsidRPr="008320A9" w:rsidRDefault="00C44910" w:rsidP="00C44910">
      <w:pPr>
        <w:spacing w:before="100" w:beforeAutospacing="1" w:after="100" w:afterAutospacing="1"/>
        <w:jc w:val="center"/>
        <w:rPr>
          <w:rFonts w:ascii="Century Gothic" w:hAnsi="Century Gothic"/>
        </w:rPr>
      </w:pPr>
    </w:p>
    <w:p w:rsidR="00C44910" w:rsidRPr="008320A9" w:rsidRDefault="00C44910" w:rsidP="00C44910">
      <w:pPr>
        <w:spacing w:before="100" w:beforeAutospacing="1" w:after="100" w:afterAutospacing="1"/>
        <w:jc w:val="both"/>
        <w:rPr>
          <w:rFonts w:ascii="Century Gothic" w:hAnsi="Century Gothic"/>
        </w:rPr>
      </w:pPr>
    </w:p>
    <w:p w:rsidR="00C44910" w:rsidRPr="00A91186" w:rsidRDefault="00C44910" w:rsidP="00C44910">
      <w:pPr>
        <w:jc w:val="center"/>
        <w:rPr>
          <w:rFonts w:ascii="Century Gothic" w:hAnsi="Century Gothic"/>
          <w:b/>
        </w:rPr>
      </w:pPr>
      <w:r w:rsidRPr="00A91186">
        <w:rPr>
          <w:rFonts w:ascii="Century Gothic" w:hAnsi="Century Gothic"/>
          <w:b/>
        </w:rPr>
        <w:t>MARIA DAS GRAÇAS ZINATO</w:t>
      </w:r>
    </w:p>
    <w:p w:rsidR="00C44910" w:rsidRPr="00A91186" w:rsidRDefault="00C44910" w:rsidP="00C44910">
      <w:pPr>
        <w:jc w:val="center"/>
        <w:rPr>
          <w:rFonts w:ascii="Century Gothic" w:hAnsi="Century Gothic"/>
          <w:b/>
        </w:rPr>
      </w:pPr>
      <w:r w:rsidRPr="00A91186">
        <w:rPr>
          <w:rFonts w:ascii="Century Gothic" w:hAnsi="Century Gothic"/>
          <w:b/>
        </w:rPr>
        <w:t>SECRETARIA MUNICIPAL DE ESPORTE, CULTURA, LAZER E EDUCAÇÃO</w:t>
      </w:r>
    </w:p>
    <w:p w:rsidR="00C44910" w:rsidRDefault="00C44910" w:rsidP="00C44910">
      <w:pPr>
        <w:spacing w:before="100" w:beforeAutospacing="1" w:after="100" w:afterAutospacing="1"/>
        <w:jc w:val="both"/>
        <w:rPr>
          <w:rFonts w:ascii="Century Gothic" w:hAnsi="Century Gothic"/>
        </w:rPr>
      </w:pPr>
    </w:p>
    <w:p w:rsidR="00C44910" w:rsidRDefault="00C44910" w:rsidP="00C44910">
      <w:pPr>
        <w:spacing w:before="100" w:beforeAutospacing="1" w:after="100" w:afterAutospacing="1"/>
        <w:jc w:val="both"/>
        <w:rPr>
          <w:rFonts w:ascii="Century Gothic" w:hAnsi="Century Gothic"/>
        </w:rPr>
      </w:pPr>
    </w:p>
    <w:p w:rsidR="00C44910" w:rsidRDefault="00C44910" w:rsidP="00C44910">
      <w:pPr>
        <w:spacing w:before="100" w:beforeAutospacing="1" w:after="100" w:afterAutospacing="1"/>
        <w:jc w:val="both"/>
        <w:rPr>
          <w:rFonts w:ascii="Century Gothic" w:hAnsi="Century Gothic"/>
        </w:rPr>
      </w:pPr>
    </w:p>
    <w:p w:rsidR="00C44910" w:rsidRDefault="00C44910" w:rsidP="00C44910">
      <w:pPr>
        <w:spacing w:before="100" w:beforeAutospacing="1" w:after="100" w:afterAutospacing="1"/>
        <w:jc w:val="both"/>
        <w:rPr>
          <w:rFonts w:ascii="Century Gothic" w:hAnsi="Century Gothic"/>
        </w:rPr>
      </w:pPr>
    </w:p>
    <w:p w:rsidR="00174FAD" w:rsidRDefault="00174FAD"/>
    <w:sectPr w:rsidR="00174FAD">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C8B" w:rsidRDefault="00A90C8B" w:rsidP="00C44910">
      <w:r>
        <w:separator/>
      </w:r>
    </w:p>
  </w:endnote>
  <w:endnote w:type="continuationSeparator" w:id="0">
    <w:p w:rsidR="00A90C8B" w:rsidRDefault="00A90C8B" w:rsidP="00C44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C8B" w:rsidRDefault="00A90C8B" w:rsidP="00C44910">
      <w:r>
        <w:separator/>
      </w:r>
    </w:p>
  </w:footnote>
  <w:footnote w:type="continuationSeparator" w:id="0">
    <w:p w:rsidR="00A90C8B" w:rsidRDefault="00A90C8B" w:rsidP="00C44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910" w:rsidRPr="005D50B3" w:rsidRDefault="00C44910" w:rsidP="00C44910">
    <w:pPr>
      <w:pStyle w:val="Cabealho"/>
      <w:jc w:val="center"/>
    </w:pPr>
    <w:r>
      <w:rPr>
        <w:noProof/>
        <w:lang w:val="pt-BR"/>
      </w:rPr>
      <w:drawing>
        <wp:anchor distT="0" distB="0" distL="114300" distR="114300" simplePos="0" relativeHeight="251659264" behindDoc="0" locked="0" layoutInCell="1" allowOverlap="1" wp14:anchorId="1C7F490A" wp14:editId="5A21CCB6">
          <wp:simplePos x="0" y="0"/>
          <wp:positionH relativeFrom="column">
            <wp:posOffset>-542925</wp:posOffset>
          </wp:positionH>
          <wp:positionV relativeFrom="paragraph">
            <wp:posOffset>-135255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C44910" w:rsidRDefault="00C44910" w:rsidP="00C44910">
    <w:pPr>
      <w:pStyle w:val="Cabealho"/>
    </w:pPr>
  </w:p>
  <w:p w:rsidR="00C44910" w:rsidRDefault="00C44910" w:rsidP="00C44910">
    <w:pPr>
      <w:pStyle w:val="Cabealho"/>
    </w:pPr>
  </w:p>
  <w:p w:rsidR="00C44910" w:rsidRDefault="00C4491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A269F7"/>
    <w:multiLevelType w:val="hybridMultilevel"/>
    <w:tmpl w:val="FAE846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910"/>
    <w:rsid w:val="00174FAD"/>
    <w:rsid w:val="00A90C8B"/>
    <w:rsid w:val="00C449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33BFF-43A6-4328-B669-92853D7B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910"/>
    <w:pPr>
      <w:widowControl w:val="0"/>
      <w:autoSpaceDE w:val="0"/>
      <w:autoSpaceDN w:val="0"/>
      <w:spacing w:after="0" w:line="240" w:lineRule="auto"/>
    </w:pPr>
    <w:rPr>
      <w:rFonts w:ascii="Calibri" w:eastAsia="Calibri" w:hAnsi="Calibri" w:cs="Calibri"/>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44910"/>
    <w:pPr>
      <w:ind w:left="716"/>
      <w:jc w:val="both"/>
    </w:pPr>
  </w:style>
  <w:style w:type="paragraph" w:styleId="NormalWeb">
    <w:name w:val="Normal (Web)"/>
    <w:basedOn w:val="Normal"/>
    <w:uiPriority w:val="99"/>
    <w:unhideWhenUsed/>
    <w:rsid w:val="00C4491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Cabealho">
    <w:name w:val="header"/>
    <w:aliases w:val="Cabeçalho superior,Heading 1a,h,he,HeaderNN,hd"/>
    <w:basedOn w:val="Normal"/>
    <w:link w:val="CabealhoChar"/>
    <w:uiPriority w:val="99"/>
    <w:unhideWhenUsed/>
    <w:rsid w:val="00C44910"/>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C44910"/>
    <w:rPr>
      <w:rFonts w:ascii="Calibri" w:eastAsia="Calibri" w:hAnsi="Calibri" w:cs="Calibri"/>
      <w:lang w:val="pt-PT"/>
    </w:rPr>
  </w:style>
  <w:style w:type="paragraph" w:styleId="Rodap">
    <w:name w:val="footer"/>
    <w:basedOn w:val="Normal"/>
    <w:link w:val="RodapChar"/>
    <w:uiPriority w:val="99"/>
    <w:unhideWhenUsed/>
    <w:rsid w:val="00C44910"/>
    <w:pPr>
      <w:tabs>
        <w:tab w:val="center" w:pos="4252"/>
        <w:tab w:val="right" w:pos="8504"/>
      </w:tabs>
    </w:pPr>
  </w:style>
  <w:style w:type="character" w:customStyle="1" w:styleId="RodapChar">
    <w:name w:val="Rodapé Char"/>
    <w:basedOn w:val="Fontepargpadro"/>
    <w:link w:val="Rodap"/>
    <w:uiPriority w:val="99"/>
    <w:rsid w:val="00C44910"/>
    <w:rPr>
      <w:rFonts w:ascii="Calibri" w:eastAsia="Calibri" w:hAnsi="Calibri" w:cs="Calibri"/>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1038</Words>
  <Characters>5608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Contratos</dc:creator>
  <cp:keywords/>
  <dc:description/>
  <cp:lastModifiedBy>Contratos</cp:lastModifiedBy>
  <cp:revision>1</cp:revision>
  <dcterms:created xsi:type="dcterms:W3CDTF">2025-01-28T19:00:00Z</dcterms:created>
  <dcterms:modified xsi:type="dcterms:W3CDTF">2025-01-28T19:02:00Z</dcterms:modified>
</cp:coreProperties>
</file>